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1254">
      <w:pPr>
        <w:jc w:val="center"/>
        <w:rPr>
          <w:rFonts w:ascii="宋体" w:hAnsi="宋体"/>
          <w:b/>
          <w:bCs/>
          <w:sz w:val="36"/>
          <w:szCs w:val="36"/>
        </w:rPr>
      </w:pPr>
    </w:p>
    <w:p w14:paraId="28E8ECA5">
      <w:pPr>
        <w:jc w:val="center"/>
        <w:rPr>
          <w:rFonts w:hint="default" w:ascii="宋体" w:hAnsi="宋体" w:eastAsia="宋体"/>
          <w:b/>
          <w:bCs/>
          <w:sz w:val="48"/>
          <w:szCs w:val="48"/>
          <w:lang w:val="en-US" w:eastAsia="zh-CN"/>
        </w:rPr>
      </w:pPr>
      <w:r>
        <w:rPr>
          <w:rFonts w:hint="eastAsia" w:ascii="宋体" w:hAnsi="宋体"/>
          <w:b/>
          <w:bCs/>
          <w:sz w:val="48"/>
          <w:szCs w:val="48"/>
        </w:rPr>
        <w:t>宜兴市</w:t>
      </w:r>
      <w:r>
        <w:rPr>
          <w:rFonts w:hint="eastAsia" w:ascii="宋体" w:hAnsi="宋体"/>
          <w:b/>
          <w:bCs/>
          <w:sz w:val="48"/>
          <w:szCs w:val="48"/>
          <w:lang w:val="en-US" w:eastAsia="zh-CN"/>
        </w:rPr>
        <w:t>公用环保集团有限公司材料分公司</w:t>
      </w:r>
    </w:p>
    <w:p w14:paraId="42A12F2A">
      <w:pPr>
        <w:jc w:val="center"/>
        <w:rPr>
          <w:rFonts w:ascii="宋体" w:hAnsi="宋体"/>
          <w:b/>
          <w:bCs/>
          <w:sz w:val="48"/>
          <w:szCs w:val="48"/>
        </w:rPr>
      </w:pPr>
      <w:r>
        <w:rPr>
          <w:rFonts w:hint="eastAsia" w:ascii="宋体" w:hAnsi="宋体"/>
          <w:b/>
          <w:bCs/>
          <w:sz w:val="48"/>
          <w:szCs w:val="48"/>
          <w:lang w:eastAsia="zh-CN"/>
        </w:rPr>
        <w:t>加药系统采购</w:t>
      </w:r>
      <w:r>
        <w:rPr>
          <w:rFonts w:hint="eastAsia" w:ascii="宋体" w:hAnsi="宋体"/>
          <w:b/>
          <w:bCs/>
          <w:sz w:val="48"/>
          <w:szCs w:val="48"/>
        </w:rPr>
        <w:t xml:space="preserve"> </w:t>
      </w:r>
    </w:p>
    <w:p w14:paraId="59FC487C">
      <w:pPr>
        <w:jc w:val="center"/>
        <w:rPr>
          <w:rFonts w:ascii="宋体" w:hAnsi="宋体"/>
          <w:b/>
          <w:bCs/>
          <w:sz w:val="44"/>
          <w:szCs w:val="44"/>
        </w:rPr>
      </w:pPr>
    </w:p>
    <w:p w14:paraId="114C7E5F">
      <w:pPr>
        <w:jc w:val="center"/>
        <w:rPr>
          <w:rFonts w:ascii="宋体"/>
          <w:b/>
          <w:bCs/>
          <w:sz w:val="52"/>
        </w:rPr>
      </w:pPr>
    </w:p>
    <w:p w14:paraId="5349B8D8">
      <w:pPr>
        <w:jc w:val="center"/>
        <w:rPr>
          <w:rFonts w:ascii="黑体" w:hAnsi="黑体" w:eastAsia="黑体"/>
          <w:b/>
          <w:bCs/>
          <w:sz w:val="96"/>
          <w:szCs w:val="96"/>
        </w:rPr>
      </w:pPr>
      <w:r>
        <w:rPr>
          <w:rFonts w:hint="eastAsia" w:ascii="黑体" w:hAnsi="黑体" w:eastAsia="黑体"/>
          <w:b/>
          <w:bCs/>
          <w:sz w:val="96"/>
          <w:szCs w:val="96"/>
        </w:rPr>
        <w:t>招</w:t>
      </w:r>
    </w:p>
    <w:p w14:paraId="5826CC1C">
      <w:pPr>
        <w:jc w:val="center"/>
        <w:rPr>
          <w:rFonts w:ascii="黑体" w:hAnsi="黑体" w:eastAsia="黑体"/>
          <w:b/>
          <w:bCs/>
          <w:sz w:val="96"/>
          <w:szCs w:val="96"/>
        </w:rPr>
      </w:pPr>
      <w:r>
        <w:rPr>
          <w:rFonts w:hint="eastAsia" w:ascii="黑体" w:hAnsi="黑体" w:eastAsia="黑体"/>
          <w:b/>
          <w:bCs/>
          <w:sz w:val="96"/>
          <w:szCs w:val="96"/>
        </w:rPr>
        <w:t>标</w:t>
      </w:r>
    </w:p>
    <w:p w14:paraId="384DAE8E">
      <w:pPr>
        <w:jc w:val="center"/>
        <w:rPr>
          <w:rFonts w:ascii="黑体" w:hAnsi="黑体" w:eastAsia="黑体"/>
          <w:b/>
          <w:bCs/>
          <w:sz w:val="96"/>
          <w:szCs w:val="96"/>
        </w:rPr>
      </w:pPr>
      <w:r>
        <w:rPr>
          <w:rFonts w:hint="eastAsia" w:ascii="黑体" w:hAnsi="黑体" w:eastAsia="黑体"/>
          <w:b/>
          <w:bCs/>
          <w:sz w:val="96"/>
          <w:szCs w:val="96"/>
        </w:rPr>
        <w:t>文</w:t>
      </w:r>
    </w:p>
    <w:p w14:paraId="74972F89">
      <w:pPr>
        <w:jc w:val="center"/>
        <w:rPr>
          <w:rFonts w:ascii="黑体" w:hAnsi="黑体" w:eastAsia="黑体"/>
          <w:b/>
          <w:bCs/>
          <w:sz w:val="96"/>
          <w:szCs w:val="96"/>
        </w:rPr>
      </w:pPr>
      <w:r>
        <w:rPr>
          <w:rFonts w:hint="eastAsia" w:ascii="黑体" w:hAnsi="黑体" w:eastAsia="黑体"/>
          <w:b/>
          <w:bCs/>
          <w:sz w:val="96"/>
          <w:szCs w:val="96"/>
        </w:rPr>
        <w:t>件</w:t>
      </w:r>
    </w:p>
    <w:p w14:paraId="6432DBB9">
      <w:pPr>
        <w:jc w:val="both"/>
        <w:rPr>
          <w:rFonts w:ascii="宋体"/>
          <w:b/>
          <w:bCs/>
          <w:sz w:val="72"/>
          <w:szCs w:val="72"/>
        </w:rPr>
      </w:pPr>
    </w:p>
    <w:p w14:paraId="5A4B2C86">
      <w:pPr>
        <w:jc w:val="center"/>
        <w:rPr>
          <w:rFonts w:hint="eastAsia" w:ascii="宋体" w:hAnsi="宋体" w:eastAsia="宋体"/>
          <w:sz w:val="32"/>
          <w:highlight w:val="none"/>
          <w:lang w:eastAsia="zh-CN"/>
        </w:rPr>
      </w:pPr>
      <w:r>
        <w:rPr>
          <w:rFonts w:hint="eastAsia" w:ascii="宋体" w:hAnsi="宋体"/>
          <w:sz w:val="32"/>
          <w:highlight w:val="none"/>
        </w:rPr>
        <w:t xml:space="preserve">项目编号: </w:t>
      </w:r>
      <w:r>
        <w:rPr>
          <w:rFonts w:hint="eastAsia" w:ascii="宋体" w:hAnsi="宋体"/>
          <w:sz w:val="32"/>
          <w:highlight w:val="none"/>
          <w:lang w:eastAsia="zh-CN"/>
        </w:rPr>
        <w:t>YXGYJT202601028（EPC）（代）</w:t>
      </w:r>
    </w:p>
    <w:p w14:paraId="3FECD461">
      <w:pPr>
        <w:jc w:val="center"/>
        <w:rPr>
          <w:rFonts w:hint="eastAsia" w:hAnsi="宋体"/>
          <w:sz w:val="32"/>
          <w:highlight w:val="none"/>
          <w:lang w:val="en-US" w:eastAsia="zh-CN"/>
        </w:rPr>
      </w:pPr>
      <w:r>
        <w:rPr>
          <w:rFonts w:hint="eastAsia" w:ascii="宋体" w:hAnsi="宋体"/>
          <w:sz w:val="32"/>
          <w:highlight w:val="none"/>
        </w:rPr>
        <w:t>采购人：</w:t>
      </w:r>
      <w:r>
        <w:rPr>
          <w:rFonts w:hint="eastAsia" w:hAnsi="宋体"/>
          <w:sz w:val="32"/>
          <w:highlight w:val="none"/>
          <w:lang w:val="en-US" w:eastAsia="zh-CN"/>
        </w:rPr>
        <w:t>宜兴市公用环保集团有限公司材料分公司</w:t>
      </w:r>
    </w:p>
    <w:p w14:paraId="397A5DB6">
      <w:pPr>
        <w:jc w:val="center"/>
        <w:rPr>
          <w:rFonts w:hint="default" w:hAnsi="宋体"/>
          <w:sz w:val="32"/>
          <w:highlight w:val="none"/>
          <w:lang w:val="en-US" w:eastAsia="zh-CN"/>
        </w:rPr>
      </w:pPr>
      <w:r>
        <w:rPr>
          <w:rFonts w:hint="eastAsia" w:hAnsi="宋体"/>
          <w:sz w:val="32"/>
          <w:highlight w:val="none"/>
          <w:lang w:val="en-US" w:eastAsia="zh-CN"/>
        </w:rPr>
        <w:t>项目名称：加药系统采购</w:t>
      </w:r>
    </w:p>
    <w:p w14:paraId="3340862F">
      <w:pPr>
        <w:jc w:val="center"/>
        <w:rPr>
          <w:rFonts w:hint="default" w:hAnsi="宋体"/>
          <w:sz w:val="32"/>
          <w:highlight w:val="none"/>
          <w:lang w:val="en-US" w:eastAsia="zh-CN"/>
        </w:rPr>
      </w:pPr>
      <w:r>
        <w:rPr>
          <w:rFonts w:hint="eastAsia" w:hAnsi="宋体"/>
          <w:sz w:val="32"/>
          <w:highlight w:val="none"/>
          <w:lang w:val="en-US" w:eastAsia="zh-CN"/>
        </w:rPr>
        <w:t>采购代理机构：江苏鸿成工程项目管理有限公司</w:t>
      </w:r>
    </w:p>
    <w:p w14:paraId="62506986">
      <w:pPr>
        <w:jc w:val="center"/>
        <w:rPr>
          <w:rFonts w:hint="eastAsia" w:ascii="宋体" w:hAnsi="宋体"/>
          <w:sz w:val="32"/>
          <w:highlight w:val="none"/>
        </w:rPr>
      </w:pPr>
    </w:p>
    <w:p w14:paraId="3C3DA6C4">
      <w:pPr>
        <w:jc w:val="center"/>
        <w:rPr>
          <w:rFonts w:hint="default" w:ascii="宋体" w:eastAsia="宋体"/>
          <w:sz w:val="32"/>
          <w:highlight w:val="none"/>
          <w:lang w:val="en-US" w:eastAsia="zh-CN"/>
        </w:rPr>
      </w:pPr>
      <w:r>
        <w:rPr>
          <w:rFonts w:hint="eastAsia" w:ascii="宋体" w:hAnsi="宋体"/>
          <w:sz w:val="32"/>
          <w:highlight w:val="none"/>
        </w:rPr>
        <w:t>二</w:t>
      </w:r>
      <w:r>
        <w:rPr>
          <w:rFonts w:ascii="宋体"/>
          <w:sz w:val="32"/>
          <w:highlight w:val="none"/>
        </w:rPr>
        <w:t>0</w:t>
      </w:r>
      <w:r>
        <w:rPr>
          <w:rFonts w:hint="eastAsia" w:ascii="宋体" w:hAnsi="宋体"/>
          <w:sz w:val="32"/>
          <w:highlight w:val="none"/>
        </w:rPr>
        <w:t>二</w:t>
      </w:r>
      <w:r>
        <w:rPr>
          <w:rFonts w:hint="eastAsia" w:ascii="宋体" w:hAnsi="宋体"/>
          <w:sz w:val="32"/>
          <w:highlight w:val="none"/>
          <w:lang w:val="en-US" w:eastAsia="zh-CN"/>
        </w:rPr>
        <w:t>六</w:t>
      </w:r>
      <w:r>
        <w:rPr>
          <w:rFonts w:hint="eastAsia" w:ascii="宋体" w:hAnsi="宋体"/>
          <w:sz w:val="32"/>
          <w:highlight w:val="none"/>
        </w:rPr>
        <w:t>年</w:t>
      </w:r>
      <w:r>
        <w:rPr>
          <w:rFonts w:hint="eastAsia" w:ascii="宋体" w:hAnsi="宋体"/>
          <w:sz w:val="32"/>
          <w:highlight w:val="none"/>
          <w:lang w:val="en-US" w:eastAsia="zh-CN"/>
        </w:rPr>
        <w:t>二</w:t>
      </w:r>
      <w:r>
        <w:rPr>
          <w:rFonts w:hint="eastAsia" w:ascii="宋体" w:hAnsi="宋体"/>
          <w:sz w:val="32"/>
          <w:highlight w:val="none"/>
        </w:rPr>
        <w:t>月</w:t>
      </w:r>
      <w:r>
        <w:rPr>
          <w:rFonts w:hint="eastAsia" w:ascii="宋体" w:hAnsi="宋体"/>
          <w:sz w:val="32"/>
          <w:highlight w:val="none"/>
          <w:lang w:val="en-US" w:eastAsia="zh-CN"/>
        </w:rPr>
        <w:t>九日</w:t>
      </w:r>
    </w:p>
    <w:p w14:paraId="263B566E">
      <w:pPr>
        <w:jc w:val="center"/>
        <w:rPr>
          <w:rStyle w:val="81"/>
          <w:rFonts w:hint="eastAsia" w:eastAsia="黑体"/>
          <w:bCs/>
          <w:sz w:val="48"/>
        </w:rPr>
      </w:pPr>
      <w:bookmarkStart w:id="0" w:name="OLE_LINK7"/>
    </w:p>
    <w:p w14:paraId="673C5636">
      <w:pPr>
        <w:jc w:val="center"/>
        <w:rPr>
          <w:rFonts w:ascii="Times New Roman" w:hAnsi="Times New Roman" w:eastAsia="黑体" w:cs="Times New Roman"/>
          <w:bCs/>
          <w:sz w:val="48"/>
        </w:rPr>
      </w:pPr>
      <w:r>
        <w:rPr>
          <w:rFonts w:hint="eastAsia" w:ascii="Times New Roman" w:hAnsi="Times New Roman" w:eastAsia="黑体" w:cs="Times New Roman"/>
          <w:bCs/>
          <w:color w:val="auto"/>
          <w:sz w:val="48"/>
          <w:u w:val="none"/>
        </w:rPr>
        <w:t>目     录</w:t>
      </w:r>
    </w:p>
    <w:p w14:paraId="16605FF6">
      <w:pPr>
        <w:jc w:val="center"/>
        <w:rPr>
          <w:rFonts w:ascii="黑体" w:hAnsi="Times New Roman" w:eastAsia="黑体" w:cs="Times New Roman"/>
          <w:bCs/>
          <w:sz w:val="30"/>
        </w:rPr>
      </w:pPr>
    </w:p>
    <w:p w14:paraId="0CF5ED7B">
      <w:pPr>
        <w:jc w:val="center"/>
        <w:rPr>
          <w:rFonts w:ascii="黑体" w:hAnsi="Times New Roman" w:eastAsia="黑体" w:cs="Times New Roman"/>
          <w:bCs/>
          <w:sz w:val="30"/>
        </w:rPr>
      </w:pPr>
    </w:p>
    <w:p w14:paraId="5C7628F8">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14:paraId="42F0ECF1">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14:paraId="2B3AF251">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13</w:t>
      </w:r>
    </w:p>
    <w:p w14:paraId="42334EDE">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18</w:t>
      </w:r>
    </w:p>
    <w:p w14:paraId="438597E9">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23</w:t>
      </w:r>
    </w:p>
    <w:p w14:paraId="54CCB29F">
      <w:pPr>
        <w:jc w:val="center"/>
        <w:rPr>
          <w:rFonts w:ascii="黑体" w:eastAsia="黑体"/>
          <w:bCs/>
          <w:sz w:val="30"/>
        </w:rPr>
      </w:pPr>
      <w:r>
        <w:rPr>
          <w:rFonts w:hint="eastAsia" w:ascii="黑体" w:hAnsi="黑体" w:eastAsia="黑体" w:cs="黑体"/>
          <w:sz w:val="32"/>
          <w:szCs w:val="32"/>
        </w:rPr>
        <w:fldChar w:fldCharType="end"/>
      </w:r>
    </w:p>
    <w:p w14:paraId="08699405">
      <w:pPr>
        <w:jc w:val="center"/>
        <w:rPr>
          <w:rFonts w:ascii="黑体" w:eastAsia="黑体"/>
          <w:bCs/>
          <w:sz w:val="30"/>
        </w:rPr>
      </w:pPr>
    </w:p>
    <w:p w14:paraId="0A66C231">
      <w:pPr>
        <w:jc w:val="center"/>
        <w:outlineLvl w:val="0"/>
        <w:rPr>
          <w:rFonts w:hint="eastAsia" w:ascii="黑体" w:hAnsi="黑体" w:eastAsia="黑体"/>
          <w:sz w:val="32"/>
          <w:szCs w:val="32"/>
        </w:rPr>
      </w:pPr>
    </w:p>
    <w:p w14:paraId="4A596B9C">
      <w:pPr>
        <w:jc w:val="center"/>
        <w:outlineLvl w:val="0"/>
        <w:rPr>
          <w:rFonts w:hint="eastAsia" w:ascii="黑体" w:hAnsi="黑体" w:eastAsia="黑体"/>
          <w:sz w:val="32"/>
          <w:szCs w:val="32"/>
        </w:rPr>
      </w:pPr>
    </w:p>
    <w:p w14:paraId="3C66C78B">
      <w:pPr>
        <w:jc w:val="center"/>
        <w:outlineLvl w:val="0"/>
        <w:rPr>
          <w:rFonts w:hint="eastAsia" w:ascii="黑体" w:hAnsi="黑体" w:eastAsia="黑体"/>
          <w:sz w:val="32"/>
          <w:szCs w:val="32"/>
        </w:rPr>
      </w:pPr>
    </w:p>
    <w:p w14:paraId="1137736F">
      <w:pPr>
        <w:jc w:val="center"/>
        <w:outlineLvl w:val="0"/>
        <w:rPr>
          <w:rFonts w:hint="eastAsia" w:ascii="黑体" w:hAnsi="黑体" w:eastAsia="黑体"/>
          <w:sz w:val="32"/>
          <w:szCs w:val="32"/>
        </w:rPr>
      </w:pPr>
    </w:p>
    <w:p w14:paraId="65E67510">
      <w:pPr>
        <w:jc w:val="center"/>
        <w:outlineLvl w:val="0"/>
        <w:rPr>
          <w:rFonts w:hint="eastAsia" w:ascii="黑体" w:hAnsi="黑体" w:eastAsia="黑体"/>
          <w:sz w:val="32"/>
          <w:szCs w:val="32"/>
        </w:rPr>
      </w:pPr>
    </w:p>
    <w:p w14:paraId="287CA68A">
      <w:pPr>
        <w:jc w:val="center"/>
        <w:outlineLvl w:val="0"/>
        <w:rPr>
          <w:rFonts w:hint="eastAsia" w:ascii="黑体" w:hAnsi="黑体" w:eastAsia="黑体"/>
          <w:sz w:val="32"/>
          <w:szCs w:val="32"/>
        </w:rPr>
      </w:pPr>
    </w:p>
    <w:p w14:paraId="5EE838A5">
      <w:pPr>
        <w:jc w:val="center"/>
        <w:outlineLvl w:val="0"/>
        <w:rPr>
          <w:rFonts w:hint="eastAsia" w:ascii="黑体" w:hAnsi="黑体" w:eastAsia="黑体"/>
          <w:sz w:val="32"/>
          <w:szCs w:val="32"/>
        </w:rPr>
      </w:pPr>
    </w:p>
    <w:p w14:paraId="2000D956">
      <w:pPr>
        <w:jc w:val="center"/>
        <w:outlineLvl w:val="0"/>
        <w:rPr>
          <w:rFonts w:hint="eastAsia" w:ascii="黑体" w:hAnsi="黑体" w:eastAsia="黑体"/>
          <w:sz w:val="32"/>
          <w:szCs w:val="32"/>
        </w:rPr>
      </w:pPr>
    </w:p>
    <w:p w14:paraId="0656D9A7">
      <w:pPr>
        <w:jc w:val="center"/>
        <w:outlineLvl w:val="0"/>
        <w:rPr>
          <w:rFonts w:hint="eastAsia" w:ascii="黑体" w:hAnsi="黑体" w:eastAsia="黑体"/>
          <w:sz w:val="32"/>
          <w:szCs w:val="32"/>
        </w:rPr>
      </w:pPr>
    </w:p>
    <w:p w14:paraId="26FB2382">
      <w:pPr>
        <w:jc w:val="center"/>
        <w:outlineLvl w:val="0"/>
        <w:rPr>
          <w:rFonts w:hint="eastAsia" w:ascii="黑体" w:hAnsi="黑体" w:eastAsia="黑体"/>
          <w:sz w:val="32"/>
          <w:szCs w:val="32"/>
        </w:rPr>
      </w:pPr>
    </w:p>
    <w:bookmarkEnd w:id="0"/>
    <w:p w14:paraId="476BD5F2">
      <w:pPr>
        <w:jc w:val="center"/>
        <w:outlineLvl w:val="0"/>
        <w:rPr>
          <w:rFonts w:hint="eastAsia" w:ascii="黑体" w:hAnsi="黑体" w:eastAsia="黑体"/>
          <w:sz w:val="28"/>
        </w:rPr>
      </w:pPr>
    </w:p>
    <w:p w14:paraId="6267FB06">
      <w:pPr>
        <w:jc w:val="center"/>
        <w:outlineLvl w:val="0"/>
        <w:rPr>
          <w:rFonts w:hint="eastAsia" w:ascii="黑体" w:hAnsi="黑体" w:eastAsia="黑体"/>
          <w:sz w:val="28"/>
        </w:rPr>
        <w:sectPr>
          <w:footerReference r:id="rId3" w:type="default"/>
          <w:pgSz w:w="11906" w:h="16838"/>
          <w:pgMar w:top="1417" w:right="1417" w:bottom="1417" w:left="1417" w:header="851" w:footer="992" w:gutter="0"/>
          <w:pgNumType w:fmt="decimal"/>
          <w:cols w:space="720" w:num="1"/>
          <w:docGrid w:type="lines" w:linePitch="321" w:charSpace="0"/>
        </w:sectPr>
      </w:pPr>
    </w:p>
    <w:p w14:paraId="32D6E3DE">
      <w:pPr>
        <w:jc w:val="center"/>
        <w:outlineLvl w:val="0"/>
        <w:rPr>
          <w:rFonts w:hint="eastAsia" w:ascii="黑体" w:hAnsi="黑体" w:eastAsia="黑体"/>
          <w:sz w:val="28"/>
          <w:lang w:eastAsia="zh-CN"/>
        </w:rPr>
      </w:pPr>
      <w:r>
        <w:rPr>
          <w:rFonts w:hint="eastAsia" w:ascii="黑体" w:hAnsi="黑体" w:eastAsia="黑体"/>
          <w:sz w:val="28"/>
        </w:rPr>
        <w:t>第一章</w:t>
      </w:r>
      <w:r>
        <w:rPr>
          <w:rFonts w:hint="eastAsia" w:ascii="黑体" w:hAnsi="黑体" w:eastAsia="黑体"/>
          <w:sz w:val="28"/>
          <w:lang w:val="en-US" w:eastAsia="zh-CN"/>
        </w:rPr>
        <w:t xml:space="preserve"> </w:t>
      </w:r>
      <w:r>
        <w:rPr>
          <w:rFonts w:hint="eastAsia" w:ascii="黑体" w:hAnsi="黑体" w:eastAsia="黑体"/>
          <w:sz w:val="28"/>
        </w:rPr>
        <w:t>投标邀请</w:t>
      </w:r>
      <w:r>
        <w:rPr>
          <w:rFonts w:hint="eastAsia" w:ascii="黑体" w:hAnsi="黑体" w:eastAsia="黑体"/>
          <w:sz w:val="28"/>
          <w:lang w:val="en-US" w:eastAsia="zh-CN"/>
        </w:rPr>
        <w:t>函</w:t>
      </w:r>
    </w:p>
    <w:p w14:paraId="746074EE">
      <w:pPr>
        <w:ind w:firstLine="480" w:firstLineChars="200"/>
        <w:rPr>
          <w:rFonts w:ascii="宋体" w:hAnsi="宋体"/>
          <w:color w:val="000000"/>
          <w:sz w:val="24"/>
          <w:szCs w:val="24"/>
        </w:rPr>
      </w:pPr>
      <w:r>
        <w:rPr>
          <w:rFonts w:hint="eastAsia" w:ascii="宋体" w:hAnsi="宋体"/>
          <w:color w:val="000000"/>
          <w:sz w:val="24"/>
          <w:szCs w:val="24"/>
          <w:lang w:eastAsia="zh-CN"/>
        </w:rPr>
        <w:t>宜兴市公用环保集团有限公司</w:t>
      </w:r>
      <w:r>
        <w:rPr>
          <w:rFonts w:hint="eastAsia" w:ascii="宋体" w:hAnsi="宋体"/>
          <w:color w:val="000000"/>
          <w:sz w:val="24"/>
          <w:szCs w:val="24"/>
          <w:lang w:val="en-US" w:eastAsia="zh-CN"/>
        </w:rPr>
        <w:t>材料分公司</w:t>
      </w:r>
      <w:r>
        <w:rPr>
          <w:rFonts w:hint="eastAsia" w:ascii="宋体" w:hAnsi="宋体"/>
          <w:color w:val="000000"/>
          <w:sz w:val="24"/>
          <w:szCs w:val="24"/>
        </w:rPr>
        <w:t>对</w:t>
      </w:r>
      <w:r>
        <w:rPr>
          <w:rFonts w:hint="eastAsia" w:ascii="宋体" w:hAnsi="宋体"/>
          <w:color w:val="000000"/>
          <w:sz w:val="24"/>
          <w:szCs w:val="24"/>
          <w:lang w:eastAsia="zh-CN"/>
        </w:rPr>
        <w:t>加药系统采购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93"/>
        <w:gridCol w:w="7181"/>
      </w:tblGrid>
      <w:tr w14:paraId="20BA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14:paraId="51011BDC">
            <w:pPr>
              <w:spacing w:line="480" w:lineRule="exact"/>
              <w:jc w:val="center"/>
              <w:rPr>
                <w:rFonts w:ascii="宋体" w:hAnsi="宋体"/>
                <w:bCs/>
                <w:sz w:val="18"/>
                <w:szCs w:val="18"/>
              </w:rPr>
            </w:pPr>
            <w:r>
              <w:rPr>
                <w:rFonts w:hint="eastAsia" w:ascii="宋体" w:hAnsi="宋体"/>
                <w:bCs/>
                <w:sz w:val="24"/>
                <w:szCs w:val="24"/>
              </w:rPr>
              <w:t>序号</w:t>
            </w:r>
          </w:p>
        </w:tc>
        <w:tc>
          <w:tcPr>
            <w:tcW w:w="8674" w:type="dxa"/>
            <w:gridSpan w:val="2"/>
            <w:vAlign w:val="center"/>
          </w:tcPr>
          <w:p w14:paraId="46656893">
            <w:pPr>
              <w:spacing w:line="480" w:lineRule="exact"/>
              <w:jc w:val="center"/>
              <w:rPr>
                <w:rFonts w:ascii="宋体" w:hAnsi="宋体"/>
                <w:bCs/>
                <w:sz w:val="18"/>
                <w:szCs w:val="18"/>
              </w:rPr>
            </w:pPr>
            <w:r>
              <w:rPr>
                <w:rFonts w:hint="eastAsia" w:ascii="宋体" w:hAnsi="宋体"/>
                <w:bCs/>
                <w:sz w:val="24"/>
                <w:szCs w:val="24"/>
              </w:rPr>
              <w:t>内容</w:t>
            </w:r>
          </w:p>
        </w:tc>
      </w:tr>
      <w:tr w14:paraId="7E33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14:paraId="13761989">
            <w:pPr>
              <w:spacing w:line="480" w:lineRule="exact"/>
              <w:jc w:val="center"/>
              <w:rPr>
                <w:rFonts w:ascii="宋体" w:hAnsi="宋体"/>
                <w:bCs/>
                <w:sz w:val="18"/>
                <w:szCs w:val="18"/>
              </w:rPr>
            </w:pPr>
            <w:r>
              <w:rPr>
                <w:rFonts w:ascii="宋体" w:hAnsi="宋体"/>
                <w:bCs/>
                <w:sz w:val="18"/>
                <w:szCs w:val="18"/>
              </w:rPr>
              <w:t>1</w:t>
            </w:r>
          </w:p>
        </w:tc>
        <w:tc>
          <w:tcPr>
            <w:tcW w:w="8674" w:type="dxa"/>
            <w:gridSpan w:val="2"/>
          </w:tcPr>
          <w:p w14:paraId="041B08D8">
            <w:pPr>
              <w:pStyle w:val="332"/>
              <w:spacing w:line="276" w:lineRule="auto"/>
              <w:rPr>
                <w:rFonts w:hint="eastAsia"/>
                <w:sz w:val="24"/>
                <w:szCs w:val="24"/>
                <w:lang w:eastAsia="zh-CN"/>
              </w:rPr>
            </w:pPr>
            <w:bookmarkStart w:id="1" w:name="OLE_LINK192"/>
            <w:r>
              <w:rPr>
                <w:rFonts w:hint="eastAsia"/>
                <w:sz w:val="24"/>
                <w:szCs w:val="24"/>
              </w:rPr>
              <w:t>项目名称：</w:t>
            </w:r>
            <w:r>
              <w:rPr>
                <w:rFonts w:hint="eastAsia"/>
                <w:sz w:val="24"/>
                <w:szCs w:val="24"/>
                <w:lang w:eastAsia="zh-CN"/>
              </w:rPr>
              <w:t>加药系统采购</w:t>
            </w:r>
          </w:p>
          <w:p w14:paraId="251BC95F">
            <w:pPr>
              <w:rPr>
                <w:rFonts w:hint="default"/>
                <w:sz w:val="24"/>
                <w:szCs w:val="24"/>
                <w:lang w:val="en-US" w:eastAsia="zh-CN"/>
              </w:rPr>
            </w:pPr>
            <w:r>
              <w:rPr>
                <w:rFonts w:hint="eastAsia"/>
                <w:sz w:val="24"/>
                <w:szCs w:val="24"/>
              </w:rPr>
              <w:t>采购人：</w:t>
            </w:r>
            <w:r>
              <w:rPr>
                <w:rFonts w:hint="eastAsia"/>
                <w:sz w:val="24"/>
                <w:szCs w:val="24"/>
                <w:lang w:eastAsia="zh-CN"/>
              </w:rPr>
              <w:t>宜兴市公用环保集团有限公司</w:t>
            </w:r>
            <w:r>
              <w:rPr>
                <w:rFonts w:hint="eastAsia"/>
                <w:sz w:val="24"/>
                <w:szCs w:val="24"/>
                <w:lang w:val="en-US" w:eastAsia="zh-CN"/>
              </w:rPr>
              <w:t>材料分公司</w:t>
            </w:r>
          </w:p>
          <w:p w14:paraId="30EDDA21">
            <w:pPr>
              <w:rPr>
                <w:rFonts w:hint="default" w:eastAsia="宋体"/>
                <w:sz w:val="24"/>
                <w:szCs w:val="24"/>
                <w:highlight w:val="none"/>
                <w:lang w:val="en-US" w:eastAsia="zh-CN"/>
              </w:rPr>
            </w:pPr>
            <w:r>
              <w:rPr>
                <w:rFonts w:hint="eastAsia"/>
                <w:sz w:val="24"/>
                <w:szCs w:val="24"/>
                <w:lang w:val="en-US" w:eastAsia="zh-CN"/>
              </w:rPr>
              <w:t>采购代</w:t>
            </w:r>
            <w:r>
              <w:rPr>
                <w:rFonts w:hint="eastAsia"/>
                <w:sz w:val="24"/>
                <w:szCs w:val="24"/>
                <w:highlight w:val="none"/>
                <w:lang w:val="en-US" w:eastAsia="zh-CN"/>
              </w:rPr>
              <w:t>理机构：江苏鸿成工程项目管理有限公司</w:t>
            </w:r>
          </w:p>
          <w:p w14:paraId="5E9D43EA">
            <w:pPr>
              <w:pStyle w:val="332"/>
              <w:spacing w:line="276" w:lineRule="auto"/>
              <w:rPr>
                <w:rFonts w:hint="eastAsia" w:eastAsia="宋体"/>
                <w:sz w:val="24"/>
                <w:szCs w:val="24"/>
                <w:highlight w:val="none"/>
                <w:lang w:eastAsia="zh-CN"/>
              </w:rPr>
            </w:pPr>
            <w:r>
              <w:rPr>
                <w:rFonts w:hint="eastAsia"/>
                <w:sz w:val="24"/>
                <w:szCs w:val="24"/>
                <w:highlight w:val="none"/>
              </w:rPr>
              <w:t>项目编号</w:t>
            </w:r>
            <w:r>
              <w:rPr>
                <w:sz w:val="24"/>
                <w:szCs w:val="24"/>
                <w:highlight w:val="none"/>
              </w:rPr>
              <w:t xml:space="preserve">: </w:t>
            </w:r>
            <w:r>
              <w:rPr>
                <w:rFonts w:hint="eastAsia"/>
                <w:sz w:val="24"/>
                <w:szCs w:val="24"/>
                <w:highlight w:val="none"/>
                <w:lang w:eastAsia="zh-CN"/>
              </w:rPr>
              <w:t>YXGYJT202601028（EPC）（代）</w:t>
            </w:r>
          </w:p>
          <w:p w14:paraId="41D2FE8E">
            <w:pPr>
              <w:pStyle w:val="332"/>
              <w:spacing w:line="276" w:lineRule="auto"/>
              <w:rPr>
                <w:sz w:val="24"/>
                <w:szCs w:val="24"/>
                <w:highlight w:val="none"/>
              </w:rPr>
            </w:pPr>
            <w:r>
              <w:rPr>
                <w:rFonts w:hint="eastAsia"/>
                <w:sz w:val="24"/>
                <w:szCs w:val="24"/>
                <w:highlight w:val="none"/>
              </w:rPr>
              <w:t>评标方法：最低评标价法（集团网站公开招标</w:t>
            </w:r>
            <w:r>
              <w:rPr>
                <w:rFonts w:hint="eastAsia"/>
                <w:sz w:val="24"/>
                <w:szCs w:val="24"/>
                <w:highlight w:val="none"/>
                <w:lang w:eastAsia="zh-CN"/>
              </w:rPr>
              <w:t>（</w:t>
            </w:r>
            <w:r>
              <w:rPr>
                <w:rFonts w:hint="eastAsia"/>
                <w:sz w:val="24"/>
                <w:szCs w:val="24"/>
                <w:highlight w:val="none"/>
                <w:lang w:val="en-US" w:eastAsia="zh-CN"/>
              </w:rPr>
              <w:t>代理</w:t>
            </w:r>
            <w:r>
              <w:rPr>
                <w:rFonts w:hint="eastAsia"/>
                <w:sz w:val="24"/>
                <w:szCs w:val="24"/>
                <w:highlight w:val="none"/>
                <w:lang w:eastAsia="zh-CN"/>
              </w:rPr>
              <w:t>）</w:t>
            </w:r>
            <w:r>
              <w:rPr>
                <w:rFonts w:hint="eastAsia"/>
                <w:sz w:val="24"/>
                <w:szCs w:val="24"/>
                <w:highlight w:val="none"/>
              </w:rPr>
              <w:t>）</w:t>
            </w:r>
          </w:p>
          <w:p w14:paraId="5D74524A">
            <w:pPr>
              <w:pStyle w:val="332"/>
              <w:spacing w:line="276" w:lineRule="auto"/>
              <w:rPr>
                <w:rFonts w:hint="default" w:eastAsia="宋体"/>
                <w:sz w:val="24"/>
                <w:szCs w:val="24"/>
                <w:highlight w:val="none"/>
                <w:lang w:val="en-US" w:eastAsia="zh-CN"/>
              </w:rPr>
            </w:pPr>
            <w:r>
              <w:rPr>
                <w:rFonts w:hint="eastAsia"/>
                <w:sz w:val="24"/>
                <w:szCs w:val="24"/>
                <w:highlight w:val="none"/>
              </w:rPr>
              <w:t>本项目</w:t>
            </w:r>
            <w:r>
              <w:rPr>
                <w:rFonts w:hint="eastAsia"/>
                <w:sz w:val="24"/>
                <w:szCs w:val="24"/>
                <w:highlight w:val="none"/>
                <w:lang w:val="en-US" w:eastAsia="zh-CN"/>
              </w:rPr>
              <w:t>预算价</w:t>
            </w:r>
            <w:r>
              <w:rPr>
                <w:rFonts w:hint="eastAsia"/>
                <w:sz w:val="24"/>
                <w:szCs w:val="24"/>
                <w:highlight w:val="none"/>
              </w:rPr>
              <w:t>为：</w:t>
            </w:r>
            <w:bookmarkEnd w:id="1"/>
            <w:r>
              <w:rPr>
                <w:rFonts w:hint="eastAsia"/>
                <w:sz w:val="24"/>
                <w:szCs w:val="24"/>
                <w:highlight w:val="none"/>
                <w:lang w:val="en-US" w:eastAsia="zh-CN"/>
              </w:rPr>
              <w:t>68万元</w:t>
            </w:r>
          </w:p>
          <w:p w14:paraId="6334AFCC">
            <w:pPr>
              <w:pStyle w:val="332"/>
              <w:spacing w:line="276" w:lineRule="auto"/>
            </w:pPr>
            <w:r>
              <w:rPr>
                <w:rFonts w:hint="eastAsia" w:hAnsi="宋体"/>
                <w:sz w:val="24"/>
                <w:szCs w:val="24"/>
                <w:highlight w:val="none"/>
              </w:rPr>
              <w:t>本次最高限价为</w:t>
            </w:r>
            <w:r>
              <w:rPr>
                <w:rFonts w:hint="eastAsia" w:hAnsi="宋体"/>
                <w:sz w:val="24"/>
                <w:szCs w:val="24"/>
                <w:highlight w:val="none"/>
                <w:lang w:eastAsia="zh-CN"/>
              </w:rPr>
              <w:t>：</w:t>
            </w:r>
            <w:r>
              <w:rPr>
                <w:rFonts w:hint="eastAsia" w:hAnsi="宋体"/>
                <w:sz w:val="24"/>
                <w:szCs w:val="24"/>
                <w:highlight w:val="none"/>
                <w:lang w:val="en-US" w:eastAsia="zh-CN"/>
              </w:rPr>
              <w:t>同预算价；</w:t>
            </w:r>
            <w:r>
              <w:rPr>
                <w:rFonts w:hint="eastAsia" w:hAnsi="宋体"/>
                <w:sz w:val="24"/>
                <w:szCs w:val="24"/>
                <w:highlight w:val="none"/>
              </w:rPr>
              <w:t>结算时按实际数量结算。</w:t>
            </w:r>
          </w:p>
        </w:tc>
      </w:tr>
      <w:tr w14:paraId="1A8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14:paraId="769467BC">
            <w:pPr>
              <w:spacing w:line="480" w:lineRule="exact"/>
              <w:jc w:val="center"/>
              <w:rPr>
                <w:rFonts w:ascii="宋体" w:hAnsi="宋体"/>
                <w:bCs/>
                <w:sz w:val="18"/>
                <w:szCs w:val="18"/>
              </w:rPr>
            </w:pPr>
            <w:bookmarkStart w:id="2" w:name="OLE_LINK61" w:colFirst="1" w:colLast="1"/>
            <w:r>
              <w:rPr>
                <w:rFonts w:ascii="宋体" w:hAnsi="宋体"/>
                <w:bCs/>
                <w:sz w:val="18"/>
                <w:szCs w:val="18"/>
              </w:rPr>
              <w:t>2</w:t>
            </w:r>
          </w:p>
        </w:tc>
        <w:tc>
          <w:tcPr>
            <w:tcW w:w="8674" w:type="dxa"/>
            <w:gridSpan w:val="2"/>
            <w:shd w:val="clear" w:color="auto" w:fill="auto"/>
            <w:vAlign w:val="top"/>
          </w:tcPr>
          <w:p w14:paraId="405C2399">
            <w:pPr>
              <w:pStyle w:val="332"/>
            </w:pPr>
            <w:r>
              <w:rPr>
                <w:rFonts w:hint="eastAsia"/>
              </w:rPr>
              <w:t>2.1投标人参加本次投标活动应具备下列</w:t>
            </w:r>
            <w:r>
              <w:rPr>
                <w:rFonts w:hint="eastAsia"/>
                <w:b/>
                <w:bCs/>
              </w:rPr>
              <w:t>资格条件</w:t>
            </w:r>
            <w:r>
              <w:rPr>
                <w:rFonts w:hint="eastAsia"/>
              </w:rPr>
              <w:t>：</w:t>
            </w:r>
          </w:p>
          <w:p w14:paraId="73A38BE7">
            <w:pPr>
              <w:pStyle w:val="332"/>
              <w:rPr>
                <w:sz w:val="24"/>
                <w:szCs w:val="24"/>
              </w:rPr>
            </w:pPr>
            <w:r>
              <w:rPr>
                <w:rFonts w:hint="eastAsia"/>
                <w:sz w:val="24"/>
                <w:szCs w:val="24"/>
              </w:rPr>
              <w:t>①具有独立承担民事责任的能力；</w:t>
            </w:r>
          </w:p>
          <w:p w14:paraId="4B27F5FB">
            <w:pPr>
              <w:pStyle w:val="332"/>
              <w:rPr>
                <w:rFonts w:hint="eastAsia"/>
                <w:sz w:val="24"/>
                <w:szCs w:val="24"/>
              </w:rPr>
            </w:pPr>
            <w:r>
              <w:rPr>
                <w:rFonts w:hint="eastAsia"/>
                <w:sz w:val="24"/>
                <w:szCs w:val="24"/>
              </w:rPr>
              <w:t>②</w:t>
            </w:r>
            <w:r>
              <w:rPr>
                <w:rFonts w:hint="eastAsia"/>
                <w:sz w:val="24"/>
                <w:szCs w:val="24"/>
                <w:lang w:val="zh-CN"/>
              </w:rPr>
              <w:t>具有良好的商业信誉和健全的财务会计制度；</w:t>
            </w:r>
          </w:p>
          <w:p w14:paraId="18BA6907">
            <w:pPr>
              <w:pStyle w:val="332"/>
              <w:rPr>
                <w:sz w:val="24"/>
                <w:szCs w:val="24"/>
              </w:rPr>
            </w:pPr>
            <w:r>
              <w:rPr>
                <w:rFonts w:hint="eastAsia"/>
                <w:sz w:val="24"/>
                <w:szCs w:val="24"/>
              </w:rPr>
              <w:t>③有依法缴纳税收和社会保障资金的良好记录；</w:t>
            </w:r>
          </w:p>
          <w:p w14:paraId="384C735C">
            <w:pPr>
              <w:pStyle w:val="332"/>
              <w:rPr>
                <w:sz w:val="24"/>
                <w:szCs w:val="24"/>
              </w:rPr>
            </w:pPr>
            <w:r>
              <w:rPr>
                <w:rFonts w:hint="eastAsia"/>
                <w:sz w:val="24"/>
                <w:szCs w:val="24"/>
              </w:rPr>
              <w:t>④具有履行合同所必需的设备和专业技术能力；</w:t>
            </w:r>
          </w:p>
          <w:p w14:paraId="0DD4831A">
            <w:pPr>
              <w:pStyle w:val="332"/>
              <w:rPr>
                <w:sz w:val="24"/>
                <w:szCs w:val="24"/>
              </w:rPr>
            </w:pPr>
            <w:r>
              <w:rPr>
                <w:rFonts w:hint="eastAsia"/>
                <w:sz w:val="24"/>
                <w:szCs w:val="24"/>
              </w:rPr>
              <w:t>⑤不接受联合体，不接受</w:t>
            </w:r>
            <w:r>
              <w:rPr>
                <w:rFonts w:hint="eastAsia"/>
                <w:sz w:val="24"/>
                <w:szCs w:val="24"/>
                <w:lang w:val="en-US" w:eastAsia="zh-CN"/>
              </w:rPr>
              <w:t>中标</w:t>
            </w:r>
            <w:r>
              <w:rPr>
                <w:rFonts w:hint="eastAsia"/>
                <w:sz w:val="24"/>
                <w:szCs w:val="24"/>
              </w:rPr>
              <w:t>后分包；</w:t>
            </w:r>
          </w:p>
          <w:p w14:paraId="3130CD9A">
            <w:pPr>
              <w:pStyle w:val="332"/>
              <w:rPr>
                <w:rFonts w:hint="eastAsia" w:eastAsia="宋体"/>
                <w:sz w:val="24"/>
                <w:szCs w:val="24"/>
                <w:lang w:eastAsia="zh-CN"/>
              </w:rPr>
            </w:pPr>
            <w:r>
              <w:rPr>
                <w:rFonts w:hint="eastAsia"/>
                <w:sz w:val="24"/>
                <w:szCs w:val="24"/>
              </w:rPr>
              <w:t>⑥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p>
          <w:p w14:paraId="5DA4D0F2">
            <w:pPr>
              <w:rPr>
                <w:lang w:val="en-US" w:eastAsia="zh-CN"/>
              </w:rPr>
            </w:pPr>
            <w:r>
              <w:rPr>
                <w:rFonts w:hint="eastAsia"/>
                <w:sz w:val="24"/>
                <w:szCs w:val="24"/>
                <w:lang w:val="en-US" w:eastAsia="zh-CN"/>
              </w:rPr>
              <w:t>⑦</w:t>
            </w:r>
            <w:r>
              <w:rPr>
                <w:rFonts w:hint="eastAsia"/>
                <w:sz w:val="24"/>
                <w:szCs w:val="24"/>
                <w:lang w:val="zh-CN"/>
              </w:rPr>
              <w:t>投标人</w:t>
            </w:r>
            <w:r>
              <w:rPr>
                <w:rFonts w:hint="eastAsia"/>
                <w:sz w:val="24"/>
                <w:szCs w:val="24"/>
              </w:rPr>
              <w:t>202</w:t>
            </w:r>
            <w:r>
              <w:rPr>
                <w:rFonts w:hint="eastAsia"/>
                <w:sz w:val="24"/>
                <w:szCs w:val="24"/>
                <w:lang w:val="en-US" w:eastAsia="zh-CN"/>
              </w:rPr>
              <w:t>3</w:t>
            </w:r>
            <w:r>
              <w:rPr>
                <w:rFonts w:hint="eastAsia"/>
                <w:sz w:val="24"/>
                <w:szCs w:val="24"/>
                <w:lang w:val="zh-CN"/>
              </w:rPr>
              <w:t>年1月1日</w:t>
            </w:r>
            <w:r>
              <w:rPr>
                <w:rFonts w:hint="eastAsia"/>
                <w:sz w:val="24"/>
                <w:szCs w:val="24"/>
                <w:lang w:val="en-US" w:eastAsia="zh-CN"/>
              </w:rPr>
              <w:t>以来</w:t>
            </w:r>
            <w:r>
              <w:rPr>
                <w:rFonts w:hint="eastAsia"/>
                <w:sz w:val="24"/>
                <w:szCs w:val="24"/>
                <w:lang w:val="zh-CN"/>
              </w:rPr>
              <w:t>（以发票开具时间为</w:t>
            </w:r>
            <w:r>
              <w:rPr>
                <w:rFonts w:hint="eastAsia"/>
                <w:sz w:val="24"/>
                <w:szCs w:val="24"/>
                <w:highlight w:val="none"/>
                <w:lang w:val="zh-CN"/>
              </w:rPr>
              <w:t>准）</w:t>
            </w:r>
            <w:r>
              <w:rPr>
                <w:rFonts w:hint="eastAsia"/>
                <w:sz w:val="24"/>
                <w:szCs w:val="24"/>
                <w:highlight w:val="none"/>
                <w:lang w:val="en-US" w:eastAsia="zh-CN"/>
              </w:rPr>
              <w:t>有过</w:t>
            </w:r>
            <w:r>
              <w:rPr>
                <w:rFonts w:hint="eastAsia" w:hAnsi="宋体"/>
                <w:sz w:val="24"/>
                <w:szCs w:val="24"/>
                <w:highlight w:val="none"/>
                <w:lang w:val="en-US" w:eastAsia="zh-CN"/>
              </w:rPr>
              <w:t>类似产品的</w:t>
            </w:r>
            <w:r>
              <w:rPr>
                <w:rFonts w:hint="eastAsia"/>
                <w:sz w:val="24"/>
                <w:szCs w:val="24"/>
                <w:lang w:val="zh-CN"/>
              </w:rPr>
              <w:t>销售业绩。</w:t>
            </w:r>
          </w:p>
        </w:tc>
      </w:tr>
      <w:tr w14:paraId="6D45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239172E6">
            <w:pPr>
              <w:spacing w:line="480" w:lineRule="exact"/>
              <w:jc w:val="center"/>
              <w:rPr>
                <w:rFonts w:ascii="宋体" w:hAnsi="宋体"/>
                <w:sz w:val="18"/>
                <w:szCs w:val="18"/>
              </w:rPr>
            </w:pPr>
          </w:p>
        </w:tc>
        <w:tc>
          <w:tcPr>
            <w:tcW w:w="8674" w:type="dxa"/>
            <w:gridSpan w:val="2"/>
          </w:tcPr>
          <w:p w14:paraId="6B22D27A">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72D1FDD4">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3E8060E3">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w:t>
            </w:r>
            <w:bookmarkStart w:id="104" w:name="_GoBack"/>
            <w:bookmarkEnd w:id="104"/>
            <w:r>
              <w:rPr>
                <w:rFonts w:ascii="宋体" w:hAnsi="宋体"/>
                <w:bCs/>
                <w:sz w:val="24"/>
                <w:szCs w:val="21"/>
              </w:rPr>
              <w:t>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tr w14:paraId="12F9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437AEC4D">
            <w:pPr>
              <w:spacing w:line="480" w:lineRule="exact"/>
              <w:jc w:val="center"/>
              <w:rPr>
                <w:rFonts w:ascii="宋体" w:hAnsi="宋体"/>
                <w:sz w:val="18"/>
                <w:szCs w:val="18"/>
              </w:rPr>
            </w:pPr>
          </w:p>
        </w:tc>
        <w:tc>
          <w:tcPr>
            <w:tcW w:w="8674" w:type="dxa"/>
            <w:gridSpan w:val="2"/>
          </w:tcPr>
          <w:p w14:paraId="124BF164">
            <w:pPr>
              <w:spacing w:line="276" w:lineRule="auto"/>
              <w:rPr>
                <w:rFonts w:hint="eastAsia" w:ascii="宋体" w:hAnsi="宋体"/>
                <w:bCs/>
                <w:sz w:val="24"/>
                <w:szCs w:val="24"/>
                <w:highlight w:val="none"/>
                <w:lang w:val="en-US" w:eastAsia="zh-CN"/>
              </w:rPr>
            </w:pPr>
            <w:r>
              <w:rPr>
                <w:rFonts w:hint="eastAsia" w:ascii="宋体" w:hAnsi="宋体"/>
                <w:bCs/>
                <w:sz w:val="24"/>
                <w:szCs w:val="24"/>
                <w:lang w:val="en-US" w:eastAsia="zh-CN"/>
              </w:rPr>
              <w:t>2.</w:t>
            </w:r>
            <w:r>
              <w:rPr>
                <w:rFonts w:hint="eastAsia" w:ascii="宋体" w:hAnsi="宋体"/>
                <w:bCs/>
                <w:sz w:val="24"/>
                <w:szCs w:val="24"/>
                <w:highlight w:val="none"/>
                <w:lang w:val="en-US" w:eastAsia="zh-CN"/>
              </w:rPr>
              <w:t>3主要部件及材质品牌要求参照或相当于下列品牌：</w:t>
            </w:r>
          </w:p>
          <w:p w14:paraId="55D0FDAF">
            <w:pPr>
              <w:spacing w:line="276" w:lineRule="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（1）卧式螺杆泵：杭州兴龙泵业有限公司、江苏诚德泵阀制造有限公司、靖江市金封泵业有限公司；</w:t>
            </w:r>
          </w:p>
          <w:p w14:paraId="4610A814">
            <w:pPr>
              <w:spacing w:line="276" w:lineRule="auto"/>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（2）隔膜计量泵：浙江力高泵业科技有限公司、南方泵业、赛高；</w:t>
            </w:r>
          </w:p>
          <w:p w14:paraId="2DFF345D">
            <w:pPr>
              <w:spacing w:line="276" w:lineRule="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（3）柜内元器件：施耐德、ABB、西门子；</w:t>
            </w:r>
          </w:p>
          <w:p w14:paraId="5B0A10F3">
            <w:pPr>
              <w:spacing w:line="276" w:lineRule="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（4）变频器：施耐德、ABB、西门子；</w:t>
            </w:r>
          </w:p>
          <w:p w14:paraId="00728A6C">
            <w:pPr>
              <w:spacing w:line="276" w:lineRule="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（5）电线线缆：远东、上上、江南、中超、新远程；</w:t>
            </w:r>
          </w:p>
          <w:p w14:paraId="06393A65">
            <w:pPr>
              <w:spacing w:line="276" w:lineRule="auto"/>
              <w:rPr>
                <w:rFonts w:hint="default" w:ascii="宋体" w:hAnsi="宋体" w:eastAsia="宋体"/>
                <w:bCs/>
                <w:sz w:val="24"/>
                <w:szCs w:val="24"/>
                <w:lang w:val="en-US" w:eastAsia="zh-CN"/>
              </w:rPr>
            </w:pPr>
            <w:r>
              <w:rPr>
                <w:rFonts w:hint="eastAsia" w:ascii="宋体" w:hAnsi="宋体"/>
                <w:bCs/>
                <w:sz w:val="24"/>
                <w:szCs w:val="24"/>
                <w:highlight w:val="none"/>
                <w:lang w:val="en-US" w:eastAsia="zh-CN"/>
              </w:rPr>
              <w:t>注：除以上明确的品牌外，欢迎其他在品牌知名度、信誉度、质量、性能、技术指标等方面不低于上述品牌的产品参加，但必须在</w:t>
            </w:r>
            <w:r>
              <w:rPr>
                <w:rFonts w:hint="eastAsia" w:ascii="宋体" w:hAnsi="宋体"/>
                <w:b/>
                <w:bCs w:val="0"/>
                <w:sz w:val="24"/>
                <w:szCs w:val="24"/>
                <w:highlight w:val="none"/>
                <w:lang w:val="en-US" w:eastAsia="zh-CN"/>
              </w:rPr>
              <w:t>2026年2月11日17:00前</w:t>
            </w:r>
            <w:r>
              <w:rPr>
                <w:rFonts w:hint="eastAsia" w:ascii="宋体" w:hAnsi="宋体"/>
                <w:bCs/>
                <w:sz w:val="24"/>
                <w:szCs w:val="24"/>
                <w:highlight w:val="none"/>
                <w:lang w:val="en-US" w:eastAsia="zh-CN"/>
              </w:rPr>
              <w:t>，以书面形式（加盖公章）向采购人提出，并附产品详细技术参数，证明所投品牌的技术需求和性能与参照品牌同档次或高于参照品牌档次，征得采购人的认可并在更正公告中公布后才可参加本次投标。</w:t>
            </w:r>
          </w:p>
        </w:tc>
      </w:tr>
      <w:bookmarkEnd w:id="2"/>
      <w:tr w14:paraId="7C9C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2D5B41ED">
            <w:pPr>
              <w:spacing w:line="480" w:lineRule="exact"/>
              <w:jc w:val="center"/>
              <w:rPr>
                <w:rFonts w:ascii="宋体" w:hAnsi="宋体"/>
                <w:bCs/>
                <w:sz w:val="18"/>
                <w:szCs w:val="18"/>
              </w:rPr>
            </w:pPr>
            <w:r>
              <w:rPr>
                <w:rFonts w:ascii="宋体" w:hAnsi="宋体"/>
                <w:bCs/>
                <w:sz w:val="18"/>
                <w:szCs w:val="18"/>
              </w:rPr>
              <w:t>3</w:t>
            </w:r>
          </w:p>
        </w:tc>
        <w:tc>
          <w:tcPr>
            <w:tcW w:w="8674" w:type="dxa"/>
            <w:gridSpan w:val="2"/>
            <w:vAlign w:val="center"/>
          </w:tcPr>
          <w:p w14:paraId="098339D2">
            <w:pPr>
              <w:pStyle w:val="332"/>
              <w:spacing w:line="276" w:lineRule="auto"/>
              <w:rPr>
                <w:rFonts w:hAnsi="宋体"/>
                <w:bCs/>
                <w:szCs w:val="24"/>
                <w:lang w:val="zh-CN"/>
              </w:rPr>
            </w:pPr>
            <w:r>
              <w:rPr>
                <w:rFonts w:hint="eastAsia" w:hAnsi="宋体"/>
                <w:bCs/>
                <w:szCs w:val="24"/>
                <w:lang w:val="zh-CN"/>
              </w:rPr>
              <w:t>集中考察或答疑：无。</w:t>
            </w:r>
          </w:p>
        </w:tc>
      </w:tr>
      <w:tr w14:paraId="2EA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59" w:type="dxa"/>
            <w:vAlign w:val="center"/>
          </w:tcPr>
          <w:p w14:paraId="28456520">
            <w:pPr>
              <w:spacing w:line="480" w:lineRule="exact"/>
              <w:jc w:val="center"/>
              <w:rPr>
                <w:rFonts w:ascii="宋体" w:hAnsi="宋体"/>
                <w:bCs/>
                <w:sz w:val="18"/>
                <w:szCs w:val="18"/>
              </w:rPr>
            </w:pPr>
            <w:r>
              <w:rPr>
                <w:rFonts w:ascii="宋体" w:hAnsi="宋体"/>
                <w:bCs/>
                <w:sz w:val="18"/>
                <w:szCs w:val="18"/>
              </w:rPr>
              <w:t>4</w:t>
            </w:r>
          </w:p>
        </w:tc>
        <w:tc>
          <w:tcPr>
            <w:tcW w:w="8674" w:type="dxa"/>
            <w:gridSpan w:val="2"/>
            <w:vAlign w:val="center"/>
          </w:tcPr>
          <w:p w14:paraId="1C690EBC">
            <w:pPr>
              <w:spacing w:line="276" w:lineRule="auto"/>
              <w:rPr>
                <w:rFonts w:hint="eastAsia" w:ascii="宋体" w:hAnsi="宋体"/>
                <w:bCs/>
                <w:sz w:val="24"/>
                <w:szCs w:val="24"/>
              </w:rPr>
            </w:pPr>
            <w:r>
              <w:rPr>
                <w:rFonts w:hint="eastAsia" w:ascii="宋体" w:hAnsi="宋体"/>
                <w:bCs/>
                <w:sz w:val="24"/>
                <w:szCs w:val="24"/>
              </w:rPr>
              <w:t>投标文件正本份数：1份（需装订后密封）</w:t>
            </w:r>
          </w:p>
          <w:p w14:paraId="79B89E79">
            <w:pPr>
              <w:spacing w:line="276" w:lineRule="auto"/>
              <w:rPr>
                <w:rFonts w:hint="eastAsia" w:ascii="宋体" w:hAnsi="宋体"/>
                <w:bCs/>
                <w:sz w:val="24"/>
                <w:szCs w:val="24"/>
              </w:rPr>
            </w:pPr>
            <w:r>
              <w:rPr>
                <w:rFonts w:hint="eastAsia" w:ascii="宋体" w:hAnsi="宋体"/>
                <w:bCs/>
                <w:sz w:val="24"/>
                <w:szCs w:val="24"/>
              </w:rPr>
              <w:t>投标文件副本份数：4份（需装订后密封）</w:t>
            </w:r>
          </w:p>
          <w:p w14:paraId="59B2D43C">
            <w:pPr>
              <w:spacing w:line="276" w:lineRule="auto"/>
              <w:rPr>
                <w:rFonts w:ascii="宋体" w:hAnsi="宋体"/>
                <w:bCs/>
                <w:sz w:val="24"/>
                <w:szCs w:val="24"/>
              </w:rPr>
            </w:pPr>
            <w:r>
              <w:rPr>
                <w:rFonts w:hint="eastAsia" w:ascii="宋体" w:hAnsi="宋体"/>
                <w:bCs/>
                <w:sz w:val="24"/>
                <w:szCs w:val="24"/>
              </w:rPr>
              <w:t>资格审查原件：1份（不需密封）</w:t>
            </w:r>
          </w:p>
        </w:tc>
      </w:tr>
      <w:tr w14:paraId="399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14:paraId="20C07FA0">
            <w:pPr>
              <w:spacing w:line="480" w:lineRule="exact"/>
              <w:jc w:val="center"/>
              <w:rPr>
                <w:rFonts w:ascii="宋体" w:hAnsi="宋体"/>
                <w:bCs/>
                <w:sz w:val="18"/>
                <w:szCs w:val="18"/>
              </w:rPr>
            </w:pPr>
            <w:r>
              <w:rPr>
                <w:rFonts w:ascii="宋体" w:hAnsi="宋体"/>
                <w:bCs/>
                <w:sz w:val="18"/>
                <w:szCs w:val="18"/>
              </w:rPr>
              <w:t>5</w:t>
            </w:r>
          </w:p>
        </w:tc>
        <w:tc>
          <w:tcPr>
            <w:tcW w:w="8674" w:type="dxa"/>
            <w:gridSpan w:val="2"/>
            <w:vAlign w:val="center"/>
          </w:tcPr>
          <w:p w14:paraId="52C07206">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5F33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31A8607A">
            <w:pPr>
              <w:spacing w:line="480" w:lineRule="exact"/>
              <w:jc w:val="center"/>
              <w:rPr>
                <w:rFonts w:hint="eastAsia" w:ascii="宋体" w:hAnsi="宋体" w:eastAsia="宋体"/>
                <w:bCs/>
                <w:sz w:val="18"/>
                <w:szCs w:val="18"/>
                <w:lang w:val="en-US" w:eastAsia="zh-CN"/>
              </w:rPr>
            </w:pPr>
            <w:r>
              <w:rPr>
                <w:rFonts w:hint="eastAsia" w:ascii="宋体" w:hAnsi="宋体"/>
                <w:bCs/>
                <w:sz w:val="18"/>
                <w:szCs w:val="18"/>
                <w:lang w:val="en-US" w:eastAsia="zh-CN"/>
              </w:rPr>
              <w:t>6</w:t>
            </w:r>
          </w:p>
        </w:tc>
        <w:tc>
          <w:tcPr>
            <w:tcW w:w="8674" w:type="dxa"/>
            <w:gridSpan w:val="2"/>
          </w:tcPr>
          <w:p w14:paraId="671D71CB">
            <w:pPr>
              <w:spacing w:line="276" w:lineRule="auto"/>
              <w:jc w:val="left"/>
              <w:rPr>
                <w:rFonts w:hint="eastAsia" w:ascii="宋体" w:hAnsi="宋体"/>
                <w:bCs/>
                <w:sz w:val="24"/>
                <w:szCs w:val="21"/>
              </w:rPr>
            </w:pPr>
            <w:r>
              <w:rPr>
                <w:rFonts w:hint="eastAsia" w:ascii="宋体" w:hAnsi="宋体"/>
                <w:bCs/>
                <w:sz w:val="24"/>
                <w:szCs w:val="21"/>
                <w:lang w:val="zh-CN"/>
              </w:rPr>
              <w:t>投标保证金：</w:t>
            </w:r>
            <w:r>
              <w:rPr>
                <w:rFonts w:hint="eastAsia" w:ascii="宋体" w:hAnsi="宋体"/>
                <w:bCs/>
                <w:sz w:val="24"/>
                <w:szCs w:val="21"/>
              </w:rPr>
              <w:t>采购人根</w:t>
            </w:r>
            <w:r>
              <w:rPr>
                <w:rFonts w:hint="eastAsia" w:ascii="宋体" w:hAnsi="宋体"/>
                <w:bCs/>
                <w:sz w:val="24"/>
                <w:szCs w:val="21"/>
                <w:highlight w:val="none"/>
              </w:rPr>
              <w:t>据项目的实际情况，要求投标人在202</w:t>
            </w:r>
            <w:r>
              <w:rPr>
                <w:rFonts w:hint="eastAsia" w:ascii="宋体" w:hAnsi="宋体"/>
                <w:bCs/>
                <w:sz w:val="24"/>
                <w:szCs w:val="21"/>
                <w:highlight w:val="none"/>
                <w:lang w:val="en-US" w:eastAsia="zh-CN"/>
              </w:rPr>
              <w:t>6</w:t>
            </w:r>
            <w:r>
              <w:rPr>
                <w:rFonts w:hint="eastAsia" w:ascii="宋体" w:hAnsi="宋体"/>
                <w:bCs/>
                <w:sz w:val="24"/>
                <w:szCs w:val="21"/>
                <w:highlight w:val="none"/>
              </w:rPr>
              <w:t>年</w:t>
            </w:r>
            <w:r>
              <w:rPr>
                <w:rFonts w:hint="eastAsia" w:ascii="宋体" w:hAnsi="宋体"/>
                <w:bCs/>
                <w:sz w:val="24"/>
                <w:szCs w:val="21"/>
                <w:highlight w:val="none"/>
                <w:lang w:val="en-US" w:eastAsia="zh-CN"/>
              </w:rPr>
              <w:t>2</w:t>
            </w:r>
            <w:r>
              <w:rPr>
                <w:rFonts w:hint="eastAsia" w:ascii="宋体" w:hAnsi="宋体"/>
                <w:bCs/>
                <w:sz w:val="24"/>
                <w:szCs w:val="21"/>
                <w:highlight w:val="none"/>
              </w:rPr>
              <w:t>月</w:t>
            </w:r>
            <w:r>
              <w:rPr>
                <w:rFonts w:hint="eastAsia" w:ascii="宋体" w:hAnsi="宋体"/>
                <w:bCs/>
                <w:sz w:val="24"/>
                <w:szCs w:val="21"/>
                <w:highlight w:val="none"/>
                <w:lang w:val="en-US" w:eastAsia="zh-CN"/>
              </w:rPr>
              <w:t>9</w:t>
            </w:r>
            <w:r>
              <w:rPr>
                <w:rFonts w:hint="eastAsia" w:ascii="宋体" w:hAnsi="宋体"/>
                <w:bCs/>
                <w:sz w:val="24"/>
                <w:szCs w:val="21"/>
                <w:highlight w:val="none"/>
              </w:rPr>
              <w:t>日至202</w:t>
            </w:r>
            <w:r>
              <w:rPr>
                <w:rFonts w:hint="eastAsia" w:ascii="宋体" w:hAnsi="宋体"/>
                <w:bCs/>
                <w:sz w:val="24"/>
                <w:szCs w:val="21"/>
                <w:highlight w:val="none"/>
                <w:lang w:val="en-US" w:eastAsia="zh-CN"/>
              </w:rPr>
              <w:t>6</w:t>
            </w:r>
            <w:r>
              <w:rPr>
                <w:rFonts w:hint="eastAsia" w:ascii="宋体" w:hAnsi="宋体"/>
                <w:bCs/>
                <w:sz w:val="24"/>
                <w:szCs w:val="21"/>
                <w:highlight w:val="none"/>
              </w:rPr>
              <w:t>年</w:t>
            </w:r>
            <w:r>
              <w:rPr>
                <w:rFonts w:hint="eastAsia" w:ascii="宋体" w:hAnsi="宋体"/>
                <w:bCs/>
                <w:sz w:val="24"/>
                <w:szCs w:val="21"/>
                <w:highlight w:val="none"/>
                <w:lang w:val="en-US" w:eastAsia="zh-CN"/>
              </w:rPr>
              <w:t>2</w:t>
            </w:r>
            <w:r>
              <w:rPr>
                <w:rFonts w:hint="eastAsia" w:ascii="宋体" w:hAnsi="宋体"/>
                <w:bCs/>
                <w:sz w:val="24"/>
                <w:szCs w:val="21"/>
                <w:highlight w:val="none"/>
              </w:rPr>
              <w:t>月</w:t>
            </w:r>
            <w:r>
              <w:rPr>
                <w:rFonts w:hint="eastAsia" w:ascii="宋体" w:hAnsi="宋体"/>
                <w:bCs/>
                <w:sz w:val="24"/>
                <w:szCs w:val="21"/>
                <w:highlight w:val="none"/>
                <w:lang w:val="en-US" w:eastAsia="zh-CN"/>
              </w:rPr>
              <w:t>13</w:t>
            </w:r>
            <w:r>
              <w:rPr>
                <w:rFonts w:hint="eastAsia" w:ascii="宋体" w:hAnsi="宋体"/>
                <w:bCs/>
                <w:sz w:val="24"/>
                <w:szCs w:val="21"/>
                <w:highlight w:val="none"/>
              </w:rPr>
              <w:t>日1</w:t>
            </w:r>
            <w:r>
              <w:rPr>
                <w:rFonts w:hint="eastAsia" w:ascii="宋体" w:hAnsi="宋体"/>
                <w:bCs/>
                <w:sz w:val="24"/>
                <w:szCs w:val="21"/>
                <w:highlight w:val="none"/>
                <w:lang w:val="en-US" w:eastAsia="zh-CN"/>
              </w:rPr>
              <w:t>3</w:t>
            </w:r>
            <w:r>
              <w:rPr>
                <w:rFonts w:hint="eastAsia" w:ascii="宋体" w:hAnsi="宋体"/>
                <w:bCs/>
                <w:sz w:val="24"/>
                <w:szCs w:val="21"/>
                <w:highlight w:val="none"/>
              </w:rPr>
              <w:t>:</w:t>
            </w:r>
            <w:r>
              <w:rPr>
                <w:rFonts w:hint="eastAsia" w:ascii="宋体" w:hAnsi="宋体"/>
                <w:bCs/>
                <w:sz w:val="24"/>
                <w:szCs w:val="21"/>
                <w:highlight w:val="none"/>
                <w:lang w:val="en-US" w:eastAsia="zh-CN"/>
              </w:rPr>
              <w:t>50</w:t>
            </w:r>
            <w:r>
              <w:rPr>
                <w:rFonts w:hint="eastAsia" w:ascii="宋体" w:hAnsi="宋体"/>
                <w:bCs/>
                <w:sz w:val="24"/>
                <w:szCs w:val="21"/>
                <w:highlight w:val="none"/>
              </w:rPr>
              <w:t>前须交纳投</w:t>
            </w:r>
            <w:r>
              <w:rPr>
                <w:rFonts w:hint="eastAsia" w:ascii="宋体" w:hAnsi="宋体"/>
                <w:bCs/>
                <w:sz w:val="24"/>
                <w:szCs w:val="21"/>
              </w:rPr>
              <w:t>标保证</w:t>
            </w:r>
            <w:r>
              <w:rPr>
                <w:rFonts w:hint="eastAsia" w:ascii="宋体" w:hAnsi="宋体"/>
                <w:bCs/>
                <w:sz w:val="24"/>
                <w:szCs w:val="21"/>
                <w:lang w:val="en-US" w:eastAsia="zh-CN"/>
              </w:rPr>
              <w:t>金</w:t>
            </w:r>
            <w:r>
              <w:rPr>
                <w:rFonts w:hint="eastAsia" w:ascii="宋体" w:hAnsi="宋体"/>
                <w:b/>
                <w:bCs w:val="0"/>
                <w:color w:val="0000FF"/>
                <w:sz w:val="24"/>
                <w:szCs w:val="21"/>
                <w:lang w:val="en-US" w:eastAsia="zh-CN"/>
              </w:rPr>
              <w:t>壹万叁仟</w:t>
            </w:r>
            <w:r>
              <w:rPr>
                <w:rFonts w:hint="eastAsia" w:ascii="宋体" w:hAnsi="宋体"/>
                <w:b/>
                <w:bCs w:val="0"/>
                <w:color w:val="0000FF"/>
                <w:sz w:val="24"/>
                <w:szCs w:val="21"/>
              </w:rPr>
              <w:t>元人民币</w:t>
            </w:r>
            <w:r>
              <w:rPr>
                <w:rFonts w:hint="eastAsia" w:ascii="宋体" w:hAnsi="宋体"/>
                <w:bCs/>
                <w:sz w:val="24"/>
                <w:szCs w:val="21"/>
              </w:rPr>
              <w:t>。交纳投标保证金的单位名称必须与参加投标的投标人名称一致：</w:t>
            </w:r>
          </w:p>
          <w:tbl>
            <w:tblPr>
              <w:tblStyle w:val="75"/>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82"/>
              <w:gridCol w:w="1028"/>
              <w:gridCol w:w="2530"/>
            </w:tblGrid>
            <w:tr w14:paraId="289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18" w:type="dxa"/>
                  <w:noWrap w:val="0"/>
                  <w:vAlign w:val="center"/>
                </w:tcPr>
                <w:p w14:paraId="48F22C09">
                  <w:pPr>
                    <w:jc w:val="center"/>
                    <w:rPr>
                      <w:rFonts w:hint="eastAsia" w:hAnsi="宋体"/>
                      <w:bCs/>
                      <w:szCs w:val="21"/>
                      <w:highlight w:val="none"/>
                      <w:lang w:val="zh-CN"/>
                    </w:rPr>
                  </w:pPr>
                  <w:r>
                    <w:rPr>
                      <w:rFonts w:hint="eastAsia"/>
                      <w:szCs w:val="21"/>
                      <w:highlight w:val="none"/>
                    </w:rPr>
                    <w:t>交纳投标保证金账户名称</w:t>
                  </w:r>
                </w:p>
              </w:tc>
              <w:tc>
                <w:tcPr>
                  <w:tcW w:w="3182" w:type="dxa"/>
                  <w:noWrap w:val="0"/>
                  <w:vAlign w:val="center"/>
                </w:tcPr>
                <w:p w14:paraId="7BB351FC">
                  <w:pPr>
                    <w:spacing w:line="276" w:lineRule="auto"/>
                    <w:jc w:val="center"/>
                    <w:rPr>
                      <w:rFonts w:hint="eastAsia" w:ascii="宋体" w:hAnsi="宋体"/>
                      <w:b/>
                      <w:bCs w:val="0"/>
                      <w:color w:val="0000FF"/>
                      <w:sz w:val="21"/>
                      <w:szCs w:val="21"/>
                      <w:highlight w:val="none"/>
                      <w:lang w:val="zh-CN" w:eastAsia="zh-CN"/>
                    </w:rPr>
                  </w:pPr>
                  <w:r>
                    <w:rPr>
                      <w:rFonts w:hint="eastAsia" w:ascii="宋体" w:hAnsi="宋体"/>
                      <w:b/>
                      <w:bCs w:val="0"/>
                      <w:color w:val="0000FF"/>
                      <w:sz w:val="21"/>
                      <w:szCs w:val="21"/>
                      <w:highlight w:val="none"/>
                      <w:lang w:val="en-US" w:eastAsia="zh-CN"/>
                    </w:rPr>
                    <w:t>宜兴市公用环保集团有限公司</w:t>
                  </w:r>
                </w:p>
              </w:tc>
              <w:tc>
                <w:tcPr>
                  <w:tcW w:w="1028" w:type="dxa"/>
                  <w:vMerge w:val="restart"/>
                  <w:noWrap w:val="0"/>
                  <w:vAlign w:val="center"/>
                </w:tcPr>
                <w:p w14:paraId="0F71E1F2">
                  <w:pPr>
                    <w:jc w:val="center"/>
                    <w:rPr>
                      <w:rFonts w:hint="eastAsia" w:hAnsi="宋体"/>
                      <w:bCs/>
                      <w:szCs w:val="21"/>
                      <w:highlight w:val="none"/>
                      <w:lang w:val="zh-CN"/>
                    </w:rPr>
                  </w:pPr>
                  <w:r>
                    <w:rPr>
                      <w:rFonts w:hint="eastAsia" w:hAnsi="宋体"/>
                      <w:bCs/>
                      <w:szCs w:val="21"/>
                      <w:highlight w:val="none"/>
                      <w:lang w:val="zh-CN"/>
                    </w:rPr>
                    <w:t>交纳</w:t>
                  </w:r>
                </w:p>
                <w:p w14:paraId="0FD7029A">
                  <w:pPr>
                    <w:jc w:val="center"/>
                    <w:rPr>
                      <w:rFonts w:hint="eastAsia" w:hAnsi="宋体"/>
                      <w:bCs/>
                      <w:szCs w:val="21"/>
                      <w:highlight w:val="none"/>
                      <w:lang w:val="zh-CN"/>
                    </w:rPr>
                  </w:pPr>
                  <w:r>
                    <w:rPr>
                      <w:rFonts w:hint="eastAsia" w:hAnsi="宋体"/>
                      <w:bCs/>
                      <w:szCs w:val="21"/>
                      <w:highlight w:val="none"/>
                      <w:lang w:val="zh-CN"/>
                    </w:rPr>
                    <w:t>形式</w:t>
                  </w:r>
                </w:p>
              </w:tc>
              <w:tc>
                <w:tcPr>
                  <w:tcW w:w="2530" w:type="dxa"/>
                  <w:vMerge w:val="restart"/>
                  <w:noWrap w:val="0"/>
                  <w:vAlign w:val="center"/>
                </w:tcPr>
                <w:p w14:paraId="1505B4F3">
                  <w:pPr>
                    <w:jc w:val="center"/>
                    <w:rPr>
                      <w:rFonts w:hint="eastAsia" w:hAnsi="宋体"/>
                      <w:bCs/>
                      <w:szCs w:val="21"/>
                      <w:highlight w:val="none"/>
                      <w:lang w:val="zh-CN"/>
                    </w:rPr>
                  </w:pPr>
                  <w:r>
                    <w:rPr>
                      <w:rFonts w:hint="eastAsia"/>
                      <w:b/>
                      <w:szCs w:val="21"/>
                      <w:highlight w:val="none"/>
                    </w:rPr>
                    <w:t>投标保证金的交纳形式限于银行转账（不接受其他形式的投标保证金）</w:t>
                  </w:r>
                </w:p>
              </w:tc>
            </w:tr>
            <w:tr w14:paraId="3D6E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18" w:type="dxa"/>
                  <w:noWrap w:val="0"/>
                  <w:vAlign w:val="center"/>
                </w:tcPr>
                <w:p w14:paraId="037969AC">
                  <w:pPr>
                    <w:jc w:val="center"/>
                    <w:rPr>
                      <w:rFonts w:hint="eastAsia" w:hAnsi="宋体"/>
                      <w:bCs/>
                      <w:szCs w:val="21"/>
                      <w:highlight w:val="none"/>
                      <w:lang w:val="zh-CN"/>
                    </w:rPr>
                  </w:pPr>
                  <w:r>
                    <w:rPr>
                      <w:rFonts w:hint="eastAsia" w:hAnsi="宋体"/>
                      <w:bCs/>
                      <w:szCs w:val="21"/>
                      <w:highlight w:val="none"/>
                      <w:lang w:val="zh-CN"/>
                    </w:rPr>
                    <w:t>开户银行</w:t>
                  </w:r>
                </w:p>
              </w:tc>
              <w:tc>
                <w:tcPr>
                  <w:tcW w:w="3182" w:type="dxa"/>
                  <w:noWrap w:val="0"/>
                  <w:vAlign w:val="center"/>
                </w:tcPr>
                <w:p w14:paraId="55336E1A">
                  <w:pPr>
                    <w:spacing w:line="276" w:lineRule="auto"/>
                    <w:jc w:val="center"/>
                    <w:rPr>
                      <w:rFonts w:hint="eastAsia" w:ascii="宋体" w:hAnsi="宋体"/>
                      <w:b/>
                      <w:bCs w:val="0"/>
                      <w:color w:val="0000FF"/>
                      <w:sz w:val="21"/>
                      <w:szCs w:val="21"/>
                      <w:highlight w:val="none"/>
                      <w:lang w:val="zh-CN" w:eastAsia="zh-CN"/>
                    </w:rPr>
                  </w:pPr>
                  <w:r>
                    <w:rPr>
                      <w:rFonts w:hint="eastAsia" w:ascii="宋体" w:hAnsi="宋体"/>
                      <w:b/>
                      <w:bCs w:val="0"/>
                      <w:color w:val="0000FF"/>
                      <w:sz w:val="21"/>
                      <w:szCs w:val="21"/>
                      <w:highlight w:val="none"/>
                      <w:lang w:val="en-US" w:eastAsia="zh-CN"/>
                    </w:rPr>
                    <w:t>光大银行宜兴支行</w:t>
                  </w:r>
                </w:p>
              </w:tc>
              <w:tc>
                <w:tcPr>
                  <w:tcW w:w="1028" w:type="dxa"/>
                  <w:vMerge w:val="continue"/>
                  <w:noWrap w:val="0"/>
                  <w:vAlign w:val="center"/>
                </w:tcPr>
                <w:p w14:paraId="50FD6D94">
                  <w:pPr>
                    <w:jc w:val="center"/>
                    <w:rPr>
                      <w:rFonts w:hint="eastAsia" w:hAnsi="宋体"/>
                      <w:bCs/>
                      <w:szCs w:val="21"/>
                      <w:highlight w:val="none"/>
                      <w:lang w:val="zh-CN"/>
                    </w:rPr>
                  </w:pPr>
                </w:p>
              </w:tc>
              <w:tc>
                <w:tcPr>
                  <w:tcW w:w="2530" w:type="dxa"/>
                  <w:vMerge w:val="continue"/>
                  <w:noWrap w:val="0"/>
                  <w:vAlign w:val="center"/>
                </w:tcPr>
                <w:p w14:paraId="72919612">
                  <w:pPr>
                    <w:jc w:val="center"/>
                    <w:rPr>
                      <w:rFonts w:hint="eastAsia" w:hAnsi="宋体"/>
                      <w:bCs/>
                      <w:szCs w:val="21"/>
                      <w:highlight w:val="none"/>
                      <w:lang w:val="zh-CN"/>
                    </w:rPr>
                  </w:pPr>
                </w:p>
              </w:tc>
            </w:tr>
            <w:tr w14:paraId="76D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18" w:type="dxa"/>
                  <w:noWrap w:val="0"/>
                  <w:vAlign w:val="center"/>
                </w:tcPr>
                <w:p w14:paraId="669F0B5C">
                  <w:pPr>
                    <w:jc w:val="center"/>
                    <w:rPr>
                      <w:rFonts w:hint="eastAsia" w:hAnsi="宋体"/>
                      <w:bCs/>
                      <w:szCs w:val="21"/>
                      <w:highlight w:val="none"/>
                      <w:lang w:val="zh-CN"/>
                    </w:rPr>
                  </w:pPr>
                  <w:r>
                    <w:rPr>
                      <w:rFonts w:hint="eastAsia" w:hAnsi="宋体"/>
                      <w:bCs/>
                      <w:szCs w:val="21"/>
                      <w:highlight w:val="none"/>
                      <w:lang w:val="zh-CN"/>
                    </w:rPr>
                    <w:t>账</w:t>
                  </w:r>
                  <w:r>
                    <w:rPr>
                      <w:rFonts w:hint="eastAsia" w:hAnsi="宋体"/>
                      <w:bCs/>
                      <w:szCs w:val="21"/>
                      <w:highlight w:val="none"/>
                    </w:rPr>
                    <w:t xml:space="preserve"> </w:t>
                  </w:r>
                  <w:r>
                    <w:rPr>
                      <w:rFonts w:hint="eastAsia" w:hAnsi="宋体"/>
                      <w:bCs/>
                      <w:szCs w:val="21"/>
                      <w:highlight w:val="none"/>
                      <w:lang w:val="zh-CN"/>
                    </w:rPr>
                    <w:t>号</w:t>
                  </w:r>
                </w:p>
              </w:tc>
              <w:tc>
                <w:tcPr>
                  <w:tcW w:w="3182" w:type="dxa"/>
                  <w:noWrap w:val="0"/>
                  <w:vAlign w:val="center"/>
                </w:tcPr>
                <w:p w14:paraId="68089DAD">
                  <w:pPr>
                    <w:spacing w:line="276" w:lineRule="auto"/>
                    <w:jc w:val="center"/>
                    <w:rPr>
                      <w:rFonts w:hint="default" w:ascii="宋体" w:hAnsi="宋体"/>
                      <w:b/>
                      <w:bCs w:val="0"/>
                      <w:color w:val="0000FF"/>
                      <w:sz w:val="21"/>
                      <w:szCs w:val="21"/>
                      <w:highlight w:val="none"/>
                      <w:lang w:val="en-US" w:eastAsia="zh-CN"/>
                    </w:rPr>
                  </w:pPr>
                  <w:r>
                    <w:rPr>
                      <w:rFonts w:hint="default" w:ascii="宋体" w:hAnsi="宋体"/>
                      <w:b/>
                      <w:bCs w:val="0"/>
                      <w:color w:val="0000FF"/>
                      <w:sz w:val="21"/>
                      <w:szCs w:val="21"/>
                      <w:highlight w:val="none"/>
                      <w:lang w:val="en-US" w:eastAsia="zh-CN"/>
                    </w:rPr>
                    <w:t>51610188000331949</w:t>
                  </w:r>
                </w:p>
              </w:tc>
              <w:tc>
                <w:tcPr>
                  <w:tcW w:w="1028" w:type="dxa"/>
                  <w:vMerge w:val="continue"/>
                  <w:noWrap w:val="0"/>
                  <w:vAlign w:val="center"/>
                </w:tcPr>
                <w:p w14:paraId="374A310D">
                  <w:pPr>
                    <w:jc w:val="center"/>
                    <w:rPr>
                      <w:rFonts w:hint="eastAsia" w:hAnsi="宋体"/>
                      <w:bCs/>
                      <w:szCs w:val="21"/>
                      <w:highlight w:val="none"/>
                      <w:lang w:val="zh-CN"/>
                    </w:rPr>
                  </w:pPr>
                </w:p>
              </w:tc>
              <w:tc>
                <w:tcPr>
                  <w:tcW w:w="2530" w:type="dxa"/>
                  <w:vMerge w:val="continue"/>
                  <w:noWrap w:val="0"/>
                  <w:vAlign w:val="center"/>
                </w:tcPr>
                <w:p w14:paraId="4FD717B6">
                  <w:pPr>
                    <w:jc w:val="center"/>
                    <w:rPr>
                      <w:rFonts w:hint="eastAsia" w:hAnsi="宋体"/>
                      <w:bCs/>
                      <w:szCs w:val="21"/>
                      <w:highlight w:val="none"/>
                      <w:lang w:val="zh-CN"/>
                    </w:rPr>
                  </w:pPr>
                </w:p>
              </w:tc>
            </w:tr>
          </w:tbl>
          <w:p w14:paraId="33ED6A34">
            <w:pPr>
              <w:spacing w:line="276" w:lineRule="auto"/>
              <w:jc w:val="left"/>
              <w:rPr>
                <w:rFonts w:hint="eastAsia" w:ascii="宋体" w:hAnsi="宋体"/>
                <w:bCs/>
                <w:sz w:val="24"/>
                <w:szCs w:val="21"/>
              </w:rPr>
            </w:pPr>
            <w:r>
              <w:rPr>
                <w:rFonts w:hint="eastAsia" w:ascii="宋体" w:hAnsi="宋体"/>
                <w:b/>
                <w:bCs w:val="0"/>
                <w:sz w:val="24"/>
                <w:szCs w:val="21"/>
              </w:rPr>
              <w:t>注：投标人必须在投标截止时间及开标时间前10分钟将保证金汇入以上账户，否则作废标处理, 缴纳投标保证金账户为涉密账户，账号随机，请投标单位仔细核对账号后缴纳投标保证金，合同签订后，无息退回。</w:t>
            </w:r>
          </w:p>
        </w:tc>
      </w:tr>
      <w:tr w14:paraId="3BAF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59C2307F">
            <w:pPr>
              <w:spacing w:line="480" w:lineRule="exact"/>
              <w:jc w:val="center"/>
              <w:rPr>
                <w:rFonts w:ascii="宋体" w:hAnsi="宋体"/>
                <w:bCs/>
                <w:sz w:val="18"/>
                <w:szCs w:val="18"/>
              </w:rPr>
            </w:pPr>
            <w:r>
              <w:rPr>
                <w:rFonts w:hint="eastAsia" w:ascii="宋体" w:hAnsi="宋体"/>
                <w:bCs/>
                <w:sz w:val="18"/>
                <w:szCs w:val="18"/>
              </w:rPr>
              <w:t>7</w:t>
            </w:r>
          </w:p>
        </w:tc>
        <w:tc>
          <w:tcPr>
            <w:tcW w:w="8674" w:type="dxa"/>
            <w:gridSpan w:val="2"/>
          </w:tcPr>
          <w:p w14:paraId="29BB172A">
            <w:pPr>
              <w:spacing w:line="276" w:lineRule="auto"/>
              <w:rPr>
                <w:rFonts w:hint="default" w:ascii="宋体" w:hAnsi="宋体" w:eastAsia="宋体"/>
                <w:bCs/>
                <w:sz w:val="24"/>
                <w:szCs w:val="21"/>
                <w:highlight w:val="none"/>
                <w:lang w:val="en-US" w:eastAsia="zh-CN"/>
              </w:rPr>
            </w:pPr>
            <w:r>
              <w:rPr>
                <w:rFonts w:hint="eastAsia" w:ascii="宋体" w:hAnsi="宋体"/>
                <w:bCs/>
                <w:sz w:val="24"/>
                <w:szCs w:val="21"/>
                <w:highlight w:val="none"/>
              </w:rPr>
              <w:t>投标截止时间及开标时间：</w:t>
            </w:r>
            <w:r>
              <w:rPr>
                <w:rFonts w:hint="eastAsia" w:ascii="宋体" w:hAnsi="宋体"/>
                <w:bCs/>
                <w:color w:val="0000FF"/>
                <w:sz w:val="24"/>
                <w:szCs w:val="21"/>
                <w:highlight w:val="none"/>
                <w:lang w:val="zh-CN"/>
              </w:rPr>
              <w:t>202</w:t>
            </w:r>
            <w:r>
              <w:rPr>
                <w:rFonts w:hint="eastAsia" w:ascii="宋体" w:hAnsi="宋体"/>
                <w:bCs/>
                <w:color w:val="0000FF"/>
                <w:sz w:val="24"/>
                <w:szCs w:val="21"/>
                <w:highlight w:val="none"/>
                <w:lang w:val="en-US" w:eastAsia="zh-CN"/>
              </w:rPr>
              <w:t>6</w:t>
            </w:r>
            <w:r>
              <w:rPr>
                <w:rFonts w:hint="eastAsia" w:ascii="宋体" w:hAnsi="宋体"/>
                <w:bCs/>
                <w:color w:val="0000FF"/>
                <w:sz w:val="24"/>
                <w:szCs w:val="21"/>
                <w:highlight w:val="none"/>
                <w:lang w:val="zh-CN"/>
              </w:rPr>
              <w:t>年</w:t>
            </w:r>
            <w:r>
              <w:rPr>
                <w:rFonts w:hint="eastAsia" w:ascii="宋体" w:hAnsi="宋体"/>
                <w:bCs/>
                <w:color w:val="0000FF"/>
                <w:sz w:val="24"/>
                <w:szCs w:val="21"/>
                <w:highlight w:val="none"/>
                <w:lang w:val="en-US" w:eastAsia="zh-CN"/>
              </w:rPr>
              <w:t>2</w:t>
            </w:r>
            <w:r>
              <w:rPr>
                <w:rFonts w:hint="eastAsia" w:ascii="宋体" w:hAnsi="宋体"/>
                <w:bCs/>
                <w:color w:val="0000FF"/>
                <w:sz w:val="24"/>
                <w:szCs w:val="21"/>
                <w:highlight w:val="none"/>
                <w:lang w:val="zh-CN"/>
              </w:rPr>
              <w:t>月</w:t>
            </w:r>
            <w:r>
              <w:rPr>
                <w:rFonts w:hint="eastAsia" w:ascii="宋体" w:hAnsi="宋体"/>
                <w:bCs/>
                <w:color w:val="0000FF"/>
                <w:sz w:val="24"/>
                <w:szCs w:val="21"/>
                <w:highlight w:val="none"/>
                <w:lang w:val="en-US" w:eastAsia="zh-CN"/>
              </w:rPr>
              <w:t>13</w:t>
            </w:r>
            <w:r>
              <w:rPr>
                <w:rFonts w:hint="eastAsia" w:ascii="宋体" w:hAnsi="宋体"/>
                <w:bCs/>
                <w:color w:val="0000FF"/>
                <w:sz w:val="24"/>
                <w:szCs w:val="21"/>
                <w:highlight w:val="none"/>
                <w:lang w:val="zh-CN"/>
              </w:rPr>
              <w:t>日</w:t>
            </w:r>
            <w:r>
              <w:rPr>
                <w:rFonts w:hint="eastAsia" w:ascii="宋体" w:hAnsi="宋体"/>
                <w:bCs/>
                <w:color w:val="0000FF"/>
                <w:sz w:val="24"/>
                <w:szCs w:val="21"/>
                <w:highlight w:val="none"/>
                <w:lang w:val="en-US" w:eastAsia="zh-CN"/>
              </w:rPr>
              <w:t>14:00</w:t>
            </w:r>
          </w:p>
          <w:p w14:paraId="568840AD">
            <w:pPr>
              <w:spacing w:line="276" w:lineRule="auto"/>
              <w:rPr>
                <w:rFonts w:ascii="宋体" w:hAnsi="宋体"/>
                <w:bCs/>
                <w:sz w:val="24"/>
                <w:szCs w:val="21"/>
                <w:highlight w:val="none"/>
              </w:rPr>
            </w:pPr>
            <w:r>
              <w:rPr>
                <w:rFonts w:hint="eastAsia" w:ascii="宋体" w:hAnsi="宋体"/>
                <w:bCs/>
                <w:sz w:val="24"/>
                <w:szCs w:val="21"/>
                <w:highlight w:val="none"/>
              </w:rPr>
              <w:t>定标时间：评标结束后</w:t>
            </w:r>
          </w:p>
          <w:p w14:paraId="392F7C59">
            <w:pPr>
              <w:spacing w:line="276" w:lineRule="auto"/>
              <w:jc w:val="left"/>
              <w:rPr>
                <w:rFonts w:ascii="宋体" w:hAnsi="宋体"/>
                <w:sz w:val="24"/>
                <w:szCs w:val="24"/>
              </w:rPr>
            </w:pPr>
            <w:r>
              <w:rPr>
                <w:rFonts w:hint="eastAsia" w:ascii="宋体" w:hAnsi="宋体"/>
                <w:bCs/>
                <w:sz w:val="24"/>
                <w:szCs w:val="21"/>
                <w:highlight w:val="none"/>
              </w:rPr>
              <w:t>投标地点及开标地点：</w:t>
            </w:r>
            <w:r>
              <w:rPr>
                <w:rFonts w:hint="eastAsia" w:ascii="宋体" w:hAnsi="宋体"/>
                <w:bCs/>
                <w:color w:val="0000FF"/>
                <w:sz w:val="24"/>
                <w:szCs w:val="21"/>
                <w:highlight w:val="none"/>
                <w:lang w:val="zh-CN"/>
              </w:rPr>
              <w:t>江苏鸿成工程项目管理有限公司212开标室（宜兴市杏园路108号科创商务中心5号楼）</w:t>
            </w:r>
          </w:p>
        </w:tc>
      </w:tr>
      <w:tr w14:paraId="4B23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restart"/>
            <w:vAlign w:val="center"/>
          </w:tcPr>
          <w:p w14:paraId="583F99DE">
            <w:pPr>
              <w:spacing w:line="480" w:lineRule="exact"/>
              <w:jc w:val="center"/>
              <w:rPr>
                <w:rFonts w:hint="eastAsia" w:ascii="宋体" w:hAnsi="宋体" w:eastAsia="宋体"/>
                <w:bCs/>
                <w:sz w:val="18"/>
                <w:szCs w:val="18"/>
                <w:lang w:val="en-US" w:eastAsia="zh-CN"/>
              </w:rPr>
            </w:pPr>
            <w:r>
              <w:rPr>
                <w:rFonts w:hint="eastAsia" w:ascii="宋体" w:hAnsi="宋体"/>
                <w:bCs/>
                <w:sz w:val="18"/>
                <w:szCs w:val="18"/>
                <w:lang w:val="en-US" w:eastAsia="zh-CN"/>
              </w:rPr>
              <w:t>8</w:t>
            </w:r>
          </w:p>
        </w:tc>
        <w:tc>
          <w:tcPr>
            <w:tcW w:w="1493" w:type="dxa"/>
            <w:shd w:val="clear" w:color="auto" w:fill="auto"/>
            <w:vAlign w:val="center"/>
          </w:tcPr>
          <w:p w14:paraId="43871BB8">
            <w:pPr>
              <w:snapToGrid w:val="0"/>
              <w:spacing w:line="400" w:lineRule="exact"/>
              <w:jc w:val="center"/>
              <w:rPr>
                <w:rFonts w:hint="eastAsia" w:ascii="宋体" w:hAnsi="宋体" w:eastAsia="宋体" w:cs="Times New Roman"/>
                <w:bCs/>
                <w:kern w:val="2"/>
                <w:sz w:val="24"/>
                <w:szCs w:val="24"/>
                <w:highlight w:val="none"/>
                <w:lang w:val="zh-CN" w:eastAsia="zh-CN" w:bidi="ar-SA"/>
              </w:rPr>
            </w:pPr>
            <w:r>
              <w:rPr>
                <w:rFonts w:hint="eastAsia" w:ascii="宋体" w:hAnsi="宋体"/>
                <w:bCs/>
                <w:sz w:val="24"/>
                <w:szCs w:val="24"/>
                <w:highlight w:val="none"/>
              </w:rPr>
              <w:t>采购人</w:t>
            </w:r>
          </w:p>
        </w:tc>
        <w:tc>
          <w:tcPr>
            <w:tcW w:w="7181" w:type="dxa"/>
          </w:tcPr>
          <w:p w14:paraId="46BA2A61">
            <w:pPr>
              <w:spacing w:line="276" w:lineRule="auto"/>
              <w:rPr>
                <w:rFonts w:hint="eastAsia" w:ascii="宋体" w:hAnsi="宋体"/>
                <w:bCs/>
                <w:sz w:val="24"/>
                <w:szCs w:val="21"/>
                <w:lang w:val="en-US" w:eastAsia="zh-CN"/>
              </w:rPr>
            </w:pPr>
            <w:r>
              <w:rPr>
                <w:rFonts w:hint="eastAsia" w:ascii="宋体" w:hAnsi="宋体"/>
                <w:bCs/>
                <w:sz w:val="24"/>
                <w:szCs w:val="21"/>
              </w:rPr>
              <w:t>采购人：</w:t>
            </w:r>
            <w:r>
              <w:rPr>
                <w:rFonts w:hint="eastAsia" w:ascii="宋体" w:hAnsi="宋体"/>
                <w:bCs/>
                <w:sz w:val="24"/>
                <w:szCs w:val="21"/>
                <w:lang w:eastAsia="zh-CN"/>
              </w:rPr>
              <w:t>宜兴市公用环保集团有限公司</w:t>
            </w:r>
            <w:r>
              <w:rPr>
                <w:rFonts w:hint="eastAsia" w:ascii="宋体" w:hAnsi="宋体"/>
                <w:bCs/>
                <w:sz w:val="24"/>
                <w:szCs w:val="21"/>
                <w:lang w:val="en-US" w:eastAsia="zh-CN"/>
              </w:rPr>
              <w:t>材料分公司</w:t>
            </w:r>
          </w:p>
          <w:p w14:paraId="38721B6D">
            <w:pPr>
              <w:spacing w:line="276" w:lineRule="auto"/>
              <w:rPr>
                <w:rFonts w:hint="eastAsia" w:ascii="宋体" w:hAnsi="宋体"/>
                <w:bCs/>
                <w:sz w:val="24"/>
                <w:szCs w:val="21"/>
              </w:rPr>
            </w:pPr>
            <w:r>
              <w:rPr>
                <w:rFonts w:hint="eastAsia" w:ascii="宋体" w:hAnsi="宋体"/>
                <w:bCs/>
                <w:sz w:val="24"/>
                <w:szCs w:val="21"/>
              </w:rPr>
              <w:t>联系人：毛先生、胡先生</w:t>
            </w:r>
          </w:p>
          <w:p w14:paraId="18840C18">
            <w:pPr>
              <w:spacing w:line="276" w:lineRule="auto"/>
              <w:rPr>
                <w:rFonts w:hint="eastAsia" w:ascii="宋体" w:hAnsi="宋体"/>
                <w:bCs/>
                <w:sz w:val="24"/>
                <w:szCs w:val="21"/>
              </w:rPr>
            </w:pPr>
            <w:r>
              <w:rPr>
                <w:rFonts w:hint="eastAsia" w:ascii="宋体" w:hAnsi="宋体"/>
                <w:bCs/>
                <w:sz w:val="24"/>
                <w:szCs w:val="21"/>
              </w:rPr>
              <w:t xml:space="preserve">联系电话：0510-80718867 </w:t>
            </w:r>
            <w:r>
              <w:rPr>
                <w:rFonts w:hint="eastAsia" w:ascii="宋体" w:hAnsi="宋体"/>
                <w:bCs/>
                <w:sz w:val="24"/>
                <w:szCs w:val="21"/>
                <w:lang w:eastAsia="zh-CN"/>
              </w:rPr>
              <w:t>；</w:t>
            </w:r>
            <w:r>
              <w:rPr>
                <w:rFonts w:hint="eastAsia" w:ascii="宋体" w:hAnsi="宋体"/>
                <w:bCs/>
                <w:sz w:val="24"/>
                <w:szCs w:val="21"/>
              </w:rPr>
              <w:t>0510-8</w:t>
            </w:r>
            <w:r>
              <w:rPr>
                <w:rFonts w:hint="eastAsia" w:ascii="宋体" w:hAnsi="宋体"/>
                <w:bCs/>
                <w:sz w:val="24"/>
                <w:szCs w:val="21"/>
                <w:lang w:val="en-US" w:eastAsia="zh-CN"/>
              </w:rPr>
              <w:t>7116202</w:t>
            </w:r>
          </w:p>
          <w:p w14:paraId="63368C80">
            <w:pPr>
              <w:spacing w:line="276" w:lineRule="auto"/>
              <w:rPr>
                <w:rFonts w:hint="eastAsia" w:ascii="宋体" w:hAnsi="宋体"/>
                <w:bCs/>
                <w:sz w:val="24"/>
                <w:szCs w:val="21"/>
              </w:rPr>
            </w:pPr>
            <w:r>
              <w:rPr>
                <w:rFonts w:hint="eastAsia" w:ascii="宋体" w:hAnsi="宋体"/>
                <w:bCs/>
                <w:sz w:val="24"/>
                <w:szCs w:val="21"/>
              </w:rPr>
              <w:t>联系地址：宜兴市环科园绿园路528号</w:t>
            </w:r>
          </w:p>
          <w:p w14:paraId="5912283A">
            <w:pPr>
              <w:spacing w:line="276" w:lineRule="auto"/>
              <w:rPr>
                <w:rFonts w:hint="eastAsia" w:ascii="宋体" w:hAnsi="宋体"/>
                <w:bCs/>
                <w:sz w:val="24"/>
                <w:szCs w:val="21"/>
              </w:rPr>
            </w:pPr>
            <w:r>
              <w:rPr>
                <w:rFonts w:hint="eastAsia" w:ascii="宋体" w:hAnsi="宋体"/>
                <w:bCs/>
                <w:sz w:val="24"/>
                <w:szCs w:val="21"/>
              </w:rPr>
              <w:t>邮政编码：214200</w:t>
            </w:r>
          </w:p>
        </w:tc>
      </w:tr>
      <w:tr w14:paraId="7DD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continue"/>
            <w:vAlign w:val="center"/>
          </w:tcPr>
          <w:p w14:paraId="4E9BA533">
            <w:pPr>
              <w:spacing w:line="480" w:lineRule="exact"/>
              <w:jc w:val="center"/>
              <w:rPr>
                <w:rFonts w:hint="eastAsia" w:ascii="宋体" w:hAnsi="宋体"/>
                <w:bCs/>
                <w:sz w:val="18"/>
                <w:szCs w:val="18"/>
                <w:lang w:val="en-US" w:eastAsia="zh-CN"/>
              </w:rPr>
            </w:pPr>
            <w:bookmarkStart w:id="3" w:name="OLE_LINK84" w:colFirst="1" w:colLast="2"/>
          </w:p>
        </w:tc>
        <w:tc>
          <w:tcPr>
            <w:tcW w:w="1493" w:type="dxa"/>
            <w:shd w:val="clear" w:color="auto" w:fill="auto"/>
            <w:vAlign w:val="center"/>
          </w:tcPr>
          <w:p w14:paraId="32F43161">
            <w:pPr>
              <w:snapToGrid w:val="0"/>
              <w:spacing w:line="400" w:lineRule="exact"/>
              <w:jc w:val="center"/>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rPr>
              <w:t>采购代理机构</w:t>
            </w:r>
          </w:p>
        </w:tc>
        <w:tc>
          <w:tcPr>
            <w:tcW w:w="7181" w:type="dxa"/>
            <w:shd w:val="clear" w:color="auto" w:fill="auto"/>
            <w:vAlign w:val="top"/>
          </w:tcPr>
          <w:p w14:paraId="67570D9D">
            <w:pPr>
              <w:jc w:val="left"/>
              <w:rPr>
                <w:rFonts w:hint="eastAsia" w:ascii="宋体" w:hAnsi="宋体"/>
                <w:bCs/>
                <w:sz w:val="24"/>
                <w:szCs w:val="24"/>
                <w:highlight w:val="none"/>
              </w:rPr>
            </w:pPr>
            <w:r>
              <w:rPr>
                <w:rFonts w:hint="eastAsia" w:ascii="宋体" w:hAnsi="宋体"/>
                <w:bCs/>
                <w:sz w:val="24"/>
                <w:szCs w:val="24"/>
                <w:highlight w:val="none"/>
              </w:rPr>
              <w:t>联系人：刘先生</w:t>
            </w:r>
          </w:p>
          <w:p w14:paraId="0D6C9F76">
            <w:pPr>
              <w:jc w:val="left"/>
              <w:rPr>
                <w:rFonts w:ascii="宋体" w:hAnsi="宋体"/>
                <w:bCs/>
                <w:sz w:val="24"/>
                <w:szCs w:val="24"/>
                <w:highlight w:val="none"/>
              </w:rPr>
            </w:pPr>
            <w:r>
              <w:rPr>
                <w:rFonts w:hint="eastAsia" w:ascii="宋体" w:hAnsi="宋体"/>
                <w:bCs/>
                <w:sz w:val="24"/>
                <w:szCs w:val="24"/>
                <w:highlight w:val="none"/>
              </w:rPr>
              <w:t>联系方式：18861558989</w:t>
            </w:r>
          </w:p>
          <w:p w14:paraId="28153D1C">
            <w:pPr>
              <w:jc w:val="left"/>
              <w:rPr>
                <w:rFonts w:ascii="宋体" w:hAnsi="宋体"/>
                <w:bCs/>
                <w:sz w:val="24"/>
                <w:szCs w:val="24"/>
                <w:highlight w:val="none"/>
              </w:rPr>
            </w:pPr>
            <w:r>
              <w:rPr>
                <w:rFonts w:hint="eastAsia" w:ascii="宋体" w:hAnsi="宋体"/>
                <w:bCs/>
                <w:sz w:val="24"/>
                <w:szCs w:val="24"/>
                <w:highlight w:val="none"/>
              </w:rPr>
              <w:t>联系地址：宜兴市杏园路108号科创商务中心5号楼</w:t>
            </w:r>
          </w:p>
          <w:p w14:paraId="6FE26442">
            <w:pPr>
              <w:snapToGrid w:val="0"/>
              <w:jc w:val="left"/>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rPr>
              <w:t>邮政编码：214200</w:t>
            </w:r>
          </w:p>
        </w:tc>
      </w:tr>
      <w:tr w14:paraId="2566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continue"/>
            <w:vAlign w:val="center"/>
          </w:tcPr>
          <w:p w14:paraId="623E3333">
            <w:pPr>
              <w:spacing w:line="480" w:lineRule="exact"/>
              <w:jc w:val="center"/>
              <w:rPr>
                <w:rFonts w:hint="eastAsia" w:ascii="宋体" w:hAnsi="宋体"/>
                <w:bCs/>
                <w:sz w:val="18"/>
                <w:szCs w:val="18"/>
                <w:lang w:val="en-US" w:eastAsia="zh-CN"/>
              </w:rPr>
            </w:pPr>
          </w:p>
        </w:tc>
        <w:tc>
          <w:tcPr>
            <w:tcW w:w="1493" w:type="dxa"/>
            <w:shd w:val="clear" w:color="auto" w:fill="auto"/>
            <w:vAlign w:val="center"/>
          </w:tcPr>
          <w:p w14:paraId="217A2DDB">
            <w:pPr>
              <w:jc w:val="center"/>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rPr>
              <w:t>采购监管部门</w:t>
            </w:r>
          </w:p>
        </w:tc>
        <w:tc>
          <w:tcPr>
            <w:tcW w:w="7181" w:type="dxa"/>
            <w:shd w:val="clear" w:color="auto" w:fill="auto"/>
            <w:vAlign w:val="top"/>
          </w:tcPr>
          <w:p w14:paraId="1857EA8C">
            <w:pPr>
              <w:jc w:val="left"/>
              <w:rPr>
                <w:rFonts w:ascii="宋体" w:hAnsi="宋体"/>
                <w:bCs/>
                <w:sz w:val="24"/>
                <w:szCs w:val="24"/>
                <w:highlight w:val="none"/>
              </w:rPr>
            </w:pPr>
            <w:r>
              <w:rPr>
                <w:rFonts w:hint="eastAsia" w:ascii="宋体" w:hAnsi="宋体"/>
                <w:bCs/>
                <w:sz w:val="24"/>
                <w:szCs w:val="24"/>
                <w:highlight w:val="none"/>
              </w:rPr>
              <w:t>采购监督管理及投诉处理主体：</w:t>
            </w:r>
          </w:p>
          <w:p w14:paraId="11F02589">
            <w:pPr>
              <w:jc w:val="left"/>
              <w:rPr>
                <w:rFonts w:ascii="宋体" w:hAnsi="宋体"/>
                <w:bCs/>
                <w:sz w:val="24"/>
                <w:szCs w:val="24"/>
                <w:highlight w:val="none"/>
              </w:rPr>
            </w:pPr>
            <w:r>
              <w:rPr>
                <w:rFonts w:hint="eastAsia" w:ascii="宋体" w:hAnsi="宋体"/>
                <w:bCs/>
                <w:sz w:val="24"/>
                <w:szCs w:val="24"/>
                <w:highlight w:val="none"/>
              </w:rPr>
              <w:t>宜兴市公用环保集团有限公司</w:t>
            </w:r>
          </w:p>
          <w:p w14:paraId="07CD8839">
            <w:pPr>
              <w:jc w:val="left"/>
              <w:rPr>
                <w:rFonts w:hint="eastAsia" w:ascii="宋体" w:hAnsi="宋体"/>
                <w:sz w:val="24"/>
                <w:szCs w:val="28"/>
                <w:highlight w:val="none"/>
              </w:rPr>
            </w:pPr>
            <w:r>
              <w:rPr>
                <w:rFonts w:hint="eastAsia" w:ascii="宋体" w:hAnsi="宋体"/>
                <w:sz w:val="24"/>
                <w:szCs w:val="28"/>
                <w:highlight w:val="none"/>
              </w:rPr>
              <w:t>联系地址：中国宜兴环保科技工业园科技孵化园</w:t>
            </w:r>
          </w:p>
          <w:p w14:paraId="4374139F">
            <w:pPr>
              <w:rPr>
                <w:rFonts w:hint="eastAsia" w:ascii="宋体" w:hAnsi="宋体" w:eastAsia="宋体" w:cs="Times New Roman"/>
                <w:bCs/>
                <w:kern w:val="2"/>
                <w:sz w:val="24"/>
                <w:szCs w:val="24"/>
                <w:highlight w:val="none"/>
                <w:lang w:val="en-US" w:eastAsia="zh-CN" w:bidi="ar-SA"/>
              </w:rPr>
            </w:pPr>
            <w:r>
              <w:rPr>
                <w:rFonts w:hint="eastAsia" w:ascii="宋体" w:hAnsi="宋体"/>
                <w:sz w:val="24"/>
                <w:szCs w:val="28"/>
                <w:highlight w:val="none"/>
              </w:rPr>
              <w:t>联系电话：</w:t>
            </w:r>
            <w:r>
              <w:rPr>
                <w:rFonts w:ascii="宋体" w:hAnsi="宋体"/>
                <w:sz w:val="24"/>
                <w:szCs w:val="28"/>
                <w:highlight w:val="none"/>
              </w:rPr>
              <w:t>0510-8070210</w:t>
            </w:r>
            <w:r>
              <w:rPr>
                <w:rFonts w:hint="eastAsia" w:ascii="宋体" w:hAnsi="宋体"/>
                <w:sz w:val="24"/>
                <w:szCs w:val="28"/>
                <w:highlight w:val="none"/>
              </w:rPr>
              <w:t>9</w:t>
            </w:r>
          </w:p>
        </w:tc>
      </w:tr>
      <w:tr w14:paraId="5754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959" w:type="dxa"/>
            <w:vAlign w:val="center"/>
          </w:tcPr>
          <w:p w14:paraId="7F2B6F48">
            <w:pPr>
              <w:spacing w:line="480" w:lineRule="exact"/>
              <w:jc w:val="center"/>
              <w:rPr>
                <w:rFonts w:ascii="宋体" w:hAnsi="宋体"/>
                <w:bCs/>
                <w:sz w:val="18"/>
                <w:szCs w:val="18"/>
              </w:rPr>
            </w:pPr>
            <w:r>
              <w:rPr>
                <w:rFonts w:hint="eastAsia" w:ascii="宋体" w:hAnsi="宋体"/>
                <w:bCs/>
                <w:sz w:val="18"/>
                <w:szCs w:val="18"/>
              </w:rPr>
              <w:t>9</w:t>
            </w:r>
          </w:p>
        </w:tc>
        <w:tc>
          <w:tcPr>
            <w:tcW w:w="8674" w:type="dxa"/>
            <w:gridSpan w:val="2"/>
          </w:tcPr>
          <w:p w14:paraId="5DCA2B4E">
            <w:pPr>
              <w:rPr>
                <w:rFonts w:ascii="宋体" w:hAnsi="宋体"/>
                <w:b/>
                <w:bCs w:val="0"/>
                <w:sz w:val="24"/>
              </w:rPr>
            </w:pPr>
            <w:r>
              <w:rPr>
                <w:rFonts w:hint="eastAsia" w:ascii="宋体" w:hAnsi="宋体"/>
                <w:b/>
                <w:bCs/>
                <w:sz w:val="24"/>
                <w:lang w:val="zh-CN"/>
              </w:rPr>
              <w:t>履约保证金：</w:t>
            </w:r>
            <w:r>
              <w:rPr>
                <w:rFonts w:hint="eastAsia" w:hAnsi="宋体"/>
                <w:b/>
                <w:bCs/>
                <w:sz w:val="24"/>
                <w:szCs w:val="24"/>
                <w:lang w:val="zh-CN"/>
              </w:rPr>
              <w:t>签订合同前，中标单位须按下表要求交纳中标合同总金额10%的履约保证金。</w:t>
            </w:r>
          </w:p>
          <w:tbl>
            <w:tblPr>
              <w:tblStyle w:val="75"/>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3066"/>
              <w:gridCol w:w="699"/>
              <w:gridCol w:w="2835"/>
            </w:tblGrid>
            <w:tr w14:paraId="553C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98" w:type="dxa"/>
                  <w:vAlign w:val="center"/>
                </w:tcPr>
                <w:p w14:paraId="1E1ED267">
                  <w:pPr>
                    <w:jc w:val="center"/>
                    <w:rPr>
                      <w:rFonts w:hAnsi="宋体"/>
                      <w:bCs/>
                      <w:szCs w:val="21"/>
                      <w:lang w:val="zh-CN"/>
                    </w:rPr>
                  </w:pPr>
                  <w:r>
                    <w:rPr>
                      <w:rFonts w:hint="eastAsia"/>
                      <w:szCs w:val="21"/>
                    </w:rPr>
                    <w:t>交纳履约保证金账户名称</w:t>
                  </w:r>
                </w:p>
              </w:tc>
              <w:tc>
                <w:tcPr>
                  <w:tcW w:w="3066" w:type="dxa"/>
                  <w:vAlign w:val="center"/>
                </w:tcPr>
                <w:p w14:paraId="36B70251">
                  <w:pPr>
                    <w:jc w:val="center"/>
                    <w:rPr>
                      <w:rFonts w:hAnsi="宋体"/>
                      <w:bCs/>
                      <w:sz w:val="21"/>
                      <w:szCs w:val="21"/>
                      <w:lang w:val="zh-CN"/>
                    </w:rPr>
                  </w:pPr>
                  <w:r>
                    <w:rPr>
                      <w:rFonts w:hint="eastAsia" w:hAnsi="宋体"/>
                      <w:bCs/>
                      <w:sz w:val="21"/>
                      <w:szCs w:val="21"/>
                      <w:lang w:val="zh-CN" w:eastAsia="zh-CN"/>
                    </w:rPr>
                    <w:t>宜兴市公用环保集团有限公司</w:t>
                  </w:r>
                </w:p>
              </w:tc>
              <w:tc>
                <w:tcPr>
                  <w:tcW w:w="699" w:type="dxa"/>
                  <w:vMerge w:val="restart"/>
                  <w:vAlign w:val="center"/>
                </w:tcPr>
                <w:p w14:paraId="22549D71">
                  <w:pPr>
                    <w:jc w:val="center"/>
                    <w:rPr>
                      <w:rFonts w:ascii="宋体" w:hAnsi="宋体"/>
                      <w:bCs/>
                      <w:szCs w:val="21"/>
                      <w:lang w:val="zh-CN"/>
                    </w:rPr>
                  </w:pPr>
                  <w:r>
                    <w:rPr>
                      <w:rFonts w:hint="eastAsia" w:ascii="宋体" w:hAnsi="宋体"/>
                      <w:bCs/>
                      <w:szCs w:val="21"/>
                      <w:lang w:val="zh-CN"/>
                    </w:rPr>
                    <w:t>交纳</w:t>
                  </w:r>
                </w:p>
                <w:p w14:paraId="1A0F9D90">
                  <w:pPr>
                    <w:jc w:val="center"/>
                    <w:rPr>
                      <w:rFonts w:hAnsi="宋体"/>
                      <w:bCs/>
                      <w:szCs w:val="21"/>
                      <w:lang w:val="zh-CN"/>
                    </w:rPr>
                  </w:pPr>
                  <w:r>
                    <w:rPr>
                      <w:rFonts w:hint="eastAsia" w:ascii="宋体" w:hAnsi="宋体"/>
                      <w:bCs/>
                      <w:szCs w:val="21"/>
                      <w:lang w:val="zh-CN"/>
                    </w:rPr>
                    <w:t>形式</w:t>
                  </w:r>
                </w:p>
              </w:tc>
              <w:tc>
                <w:tcPr>
                  <w:tcW w:w="2835" w:type="dxa"/>
                  <w:vMerge w:val="restart"/>
                  <w:vAlign w:val="center"/>
                </w:tcPr>
                <w:p w14:paraId="53B6FC24">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665D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8" w:type="dxa"/>
                  <w:vAlign w:val="center"/>
                </w:tcPr>
                <w:p w14:paraId="4E84736E">
                  <w:pPr>
                    <w:jc w:val="center"/>
                    <w:rPr>
                      <w:rFonts w:hAnsi="宋体"/>
                      <w:bCs/>
                      <w:szCs w:val="21"/>
                      <w:lang w:val="zh-CN"/>
                    </w:rPr>
                  </w:pPr>
                  <w:r>
                    <w:rPr>
                      <w:rFonts w:hint="eastAsia" w:ascii="宋体" w:hAnsi="宋体"/>
                      <w:bCs/>
                      <w:szCs w:val="21"/>
                      <w:lang w:val="zh-CN"/>
                    </w:rPr>
                    <w:t>开户银行及行号</w:t>
                  </w:r>
                </w:p>
              </w:tc>
              <w:tc>
                <w:tcPr>
                  <w:tcW w:w="3066" w:type="dxa"/>
                  <w:vAlign w:val="center"/>
                </w:tcPr>
                <w:p w14:paraId="551CEDEB">
                  <w:pPr>
                    <w:jc w:val="center"/>
                    <w:rPr>
                      <w:rFonts w:ascii="宋体" w:hAnsi="宋体"/>
                      <w:bCs/>
                      <w:sz w:val="21"/>
                      <w:szCs w:val="21"/>
                    </w:rPr>
                  </w:pPr>
                  <w:r>
                    <w:rPr>
                      <w:rFonts w:hint="eastAsia" w:ascii="宋体" w:hAnsi="宋体"/>
                      <w:bCs/>
                      <w:sz w:val="21"/>
                      <w:szCs w:val="21"/>
                    </w:rPr>
                    <w:t>建设银行宜兴营业部</w:t>
                  </w:r>
                </w:p>
              </w:tc>
              <w:tc>
                <w:tcPr>
                  <w:tcW w:w="699" w:type="dxa"/>
                  <w:vMerge w:val="continue"/>
                  <w:vAlign w:val="center"/>
                </w:tcPr>
                <w:p w14:paraId="375E5DAC">
                  <w:pPr>
                    <w:spacing w:line="276" w:lineRule="auto"/>
                    <w:jc w:val="center"/>
                    <w:rPr>
                      <w:rFonts w:hAnsi="宋体"/>
                      <w:bCs/>
                      <w:szCs w:val="21"/>
                      <w:lang w:val="zh-CN"/>
                    </w:rPr>
                  </w:pPr>
                </w:p>
              </w:tc>
              <w:tc>
                <w:tcPr>
                  <w:tcW w:w="2835" w:type="dxa"/>
                  <w:vMerge w:val="continue"/>
                  <w:vAlign w:val="center"/>
                </w:tcPr>
                <w:p w14:paraId="29DBC13C">
                  <w:pPr>
                    <w:spacing w:line="276" w:lineRule="auto"/>
                    <w:jc w:val="center"/>
                    <w:rPr>
                      <w:rFonts w:hAnsi="宋体"/>
                      <w:bCs/>
                      <w:szCs w:val="21"/>
                      <w:lang w:val="zh-CN"/>
                    </w:rPr>
                  </w:pPr>
                </w:p>
              </w:tc>
            </w:tr>
            <w:tr w14:paraId="30BD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8" w:type="dxa"/>
                  <w:vAlign w:val="center"/>
                </w:tcPr>
                <w:p w14:paraId="3B0F9655">
                  <w:pPr>
                    <w:jc w:val="center"/>
                    <w:rPr>
                      <w:rFonts w:hAnsi="宋体"/>
                      <w:bCs/>
                      <w:szCs w:val="21"/>
                      <w:lang w:val="zh-CN"/>
                    </w:rPr>
                  </w:pPr>
                  <w:r>
                    <w:rPr>
                      <w:rFonts w:hint="eastAsia" w:hAnsi="宋体"/>
                      <w:bCs/>
                      <w:szCs w:val="21"/>
                      <w:lang w:val="zh-CN"/>
                    </w:rPr>
                    <w:t>账号</w:t>
                  </w:r>
                </w:p>
              </w:tc>
              <w:tc>
                <w:tcPr>
                  <w:tcW w:w="3066" w:type="dxa"/>
                  <w:vAlign w:val="center"/>
                </w:tcPr>
                <w:p w14:paraId="083EAA93">
                  <w:pPr>
                    <w:jc w:val="center"/>
                    <w:rPr>
                      <w:rFonts w:ascii="宋体" w:hAnsi="宋体"/>
                      <w:bCs/>
                      <w:sz w:val="21"/>
                      <w:szCs w:val="21"/>
                    </w:rPr>
                  </w:pPr>
                  <w:r>
                    <w:rPr>
                      <w:rFonts w:hint="eastAsia" w:ascii="宋体" w:hAnsi="宋体"/>
                      <w:bCs/>
                      <w:sz w:val="21"/>
                      <w:szCs w:val="21"/>
                    </w:rPr>
                    <w:t>32001616236052502043</w:t>
                  </w:r>
                </w:p>
              </w:tc>
              <w:tc>
                <w:tcPr>
                  <w:tcW w:w="699" w:type="dxa"/>
                  <w:vMerge w:val="continue"/>
                  <w:vAlign w:val="center"/>
                </w:tcPr>
                <w:p w14:paraId="7AD10B80">
                  <w:pPr>
                    <w:spacing w:line="276" w:lineRule="auto"/>
                    <w:jc w:val="center"/>
                    <w:rPr>
                      <w:rFonts w:hAnsi="宋体"/>
                      <w:bCs/>
                      <w:szCs w:val="21"/>
                      <w:lang w:val="zh-CN"/>
                    </w:rPr>
                  </w:pPr>
                </w:p>
              </w:tc>
              <w:tc>
                <w:tcPr>
                  <w:tcW w:w="2835" w:type="dxa"/>
                  <w:vMerge w:val="continue"/>
                  <w:vAlign w:val="center"/>
                </w:tcPr>
                <w:p w14:paraId="1FC9A71E">
                  <w:pPr>
                    <w:spacing w:line="276" w:lineRule="auto"/>
                    <w:jc w:val="center"/>
                    <w:rPr>
                      <w:rFonts w:hAnsi="宋体"/>
                      <w:bCs/>
                      <w:szCs w:val="21"/>
                      <w:lang w:val="zh-CN"/>
                    </w:rPr>
                  </w:pPr>
                </w:p>
              </w:tc>
            </w:tr>
          </w:tbl>
          <w:p w14:paraId="7F6E1C3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Cs/>
                <w:sz w:val="24"/>
                <w:szCs w:val="24"/>
              </w:rPr>
            </w:pPr>
          </w:p>
        </w:tc>
      </w:tr>
      <w:bookmarkEnd w:id="3"/>
    </w:tbl>
    <w:p w14:paraId="38B1E39C">
      <w:pPr>
        <w:ind w:right="561" w:rightChars="267"/>
        <w:jc w:val="center"/>
        <w:rPr>
          <w:rFonts w:ascii="黑体" w:hAnsi="黑体" w:eastAsia="黑体"/>
          <w:sz w:val="32"/>
          <w:szCs w:val="32"/>
        </w:rPr>
      </w:pPr>
      <w:r>
        <w:rPr>
          <w:rFonts w:hint="eastAsia" w:ascii="黑体" w:hAnsi="黑体" w:eastAsia="黑体"/>
          <w:sz w:val="28"/>
        </w:rPr>
        <w:t>第二章 投标人须知</w:t>
      </w:r>
    </w:p>
    <w:p w14:paraId="27D58A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一、总   则</w:t>
      </w:r>
    </w:p>
    <w:p w14:paraId="31D77272">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7657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40C0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7D679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2468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1F446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528E3F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0F1D4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2.1 招标文件中的货币单位均为人民币元。</w:t>
      </w:r>
    </w:p>
    <w:p w14:paraId="28ABC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14:paraId="1C135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rPr>
      </w:pPr>
      <w:r>
        <w:rPr>
          <w:rFonts w:hint="eastAsia" w:ascii="宋体" w:hAnsi="宋体"/>
          <w:bCs/>
          <w:sz w:val="24"/>
          <w:szCs w:val="24"/>
          <w:highlight w:val="none"/>
          <w:lang w:val="en-US" w:eastAsia="zh-CN"/>
        </w:rPr>
        <w:t>2.3</w:t>
      </w:r>
      <w:r>
        <w:rPr>
          <w:rFonts w:hint="eastAsia" w:ascii="宋体" w:hAnsi="宋体"/>
          <w:bCs/>
          <w:sz w:val="24"/>
          <w:szCs w:val="24"/>
          <w:highlight w:val="none"/>
        </w:rPr>
        <w:t>本次采购，招标文件费300元/套，售后不退。</w:t>
      </w:r>
    </w:p>
    <w:p w14:paraId="2A88808B">
      <w:pPr>
        <w:spacing w:line="360" w:lineRule="auto"/>
        <w:ind w:firstLine="480" w:firstLineChars="200"/>
        <w:rPr>
          <w:rFonts w:ascii="宋体" w:hAnsi="宋体"/>
          <w:b w:val="0"/>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lang w:val="en-US" w:eastAsia="zh-CN"/>
        </w:rPr>
        <w:t>4</w:t>
      </w:r>
      <w:r>
        <w:rPr>
          <w:rFonts w:ascii="宋体" w:hAnsi="宋体"/>
          <w:b w:val="0"/>
          <w:bCs/>
          <w:sz w:val="24"/>
          <w:szCs w:val="24"/>
          <w:highlight w:val="none"/>
        </w:rPr>
        <w:t>代理服务、评标收费标准及金额：</w:t>
      </w:r>
    </w:p>
    <w:p w14:paraId="0BBEA51B">
      <w:pPr>
        <w:pStyle w:val="538"/>
        <w:numPr>
          <w:ilvl w:val="0"/>
          <w:numId w:val="0"/>
        </w:numPr>
        <w:spacing w:line="360" w:lineRule="auto"/>
        <w:ind w:left="0" w:leftChars="0" w:firstLine="420" w:firstLineChars="0"/>
        <w:rPr>
          <w:rFonts w:ascii="宋体" w:hAnsi="宋体"/>
          <w:b/>
          <w:sz w:val="24"/>
          <w:szCs w:val="24"/>
          <w:highlight w:val="none"/>
        </w:rPr>
      </w:pPr>
      <w:r>
        <w:rPr>
          <w:rFonts w:hint="default" w:ascii="Times New Roman" w:hAnsi="Times New Roman" w:eastAsia="宋体" w:cs="Times New Roman"/>
          <w:b/>
          <w:kern w:val="2"/>
          <w:sz w:val="24"/>
          <w:szCs w:val="24"/>
          <w:highlight w:val="none"/>
          <w:lang w:val="en-US" w:eastAsia="zh-CN" w:bidi="ar-SA"/>
        </w:rPr>
        <w:t>（1）</w:t>
      </w:r>
      <w:r>
        <w:rPr>
          <w:rFonts w:hint="eastAsia" w:ascii="宋体" w:hAnsi="宋体"/>
          <w:b/>
          <w:sz w:val="24"/>
          <w:szCs w:val="24"/>
          <w:highlight w:val="none"/>
        </w:rPr>
        <w:t>代理服务费：参照国家计委计价格[2002]1980号文件规定的</w:t>
      </w:r>
      <w:r>
        <w:rPr>
          <w:rFonts w:hint="eastAsia" w:ascii="宋体" w:hAnsi="宋体"/>
          <w:b/>
          <w:sz w:val="24"/>
          <w:szCs w:val="24"/>
          <w:highlight w:val="none"/>
          <w:lang w:val="en-US" w:eastAsia="zh-CN"/>
        </w:rPr>
        <w:t>67.37</w:t>
      </w:r>
      <w:r>
        <w:rPr>
          <w:rFonts w:hint="eastAsia" w:ascii="宋体" w:hAnsi="宋体"/>
          <w:b/>
          <w:sz w:val="24"/>
          <w:szCs w:val="24"/>
          <w:highlight w:val="none"/>
        </w:rPr>
        <w:t>%计取</w:t>
      </w:r>
      <w:r>
        <w:rPr>
          <w:rFonts w:hint="eastAsia" w:ascii="宋体" w:hAnsi="宋体"/>
          <w:b/>
          <w:sz w:val="24"/>
          <w:szCs w:val="24"/>
          <w:highlight w:val="none"/>
          <w:lang w:val="en-US" w:eastAsia="zh-CN"/>
        </w:rPr>
        <w:t>（请各投标单位把此费用考虑在内）</w:t>
      </w:r>
      <w:r>
        <w:rPr>
          <w:rFonts w:hint="eastAsia" w:ascii="宋体" w:hAnsi="宋体"/>
          <w:b/>
          <w:sz w:val="24"/>
          <w:szCs w:val="24"/>
          <w:highlight w:val="none"/>
        </w:rPr>
        <w:t>；</w:t>
      </w:r>
    </w:p>
    <w:p w14:paraId="472F2A71">
      <w:pPr>
        <w:pStyle w:val="538"/>
        <w:numPr>
          <w:ilvl w:val="0"/>
          <w:numId w:val="0"/>
        </w:numPr>
        <w:spacing w:line="360" w:lineRule="auto"/>
        <w:ind w:left="0" w:leftChars="0" w:firstLine="420" w:firstLineChars="0"/>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（2）专家评审费：</w:t>
      </w:r>
      <w:r>
        <w:rPr>
          <w:rFonts w:hint="eastAsia" w:cs="Times New Roman"/>
          <w:b/>
          <w:kern w:val="2"/>
          <w:sz w:val="24"/>
          <w:szCs w:val="24"/>
          <w:highlight w:val="none"/>
          <w:lang w:val="en-US" w:eastAsia="zh-CN" w:bidi="ar-SA"/>
        </w:rPr>
        <w:t>参照</w:t>
      </w:r>
      <w:r>
        <w:rPr>
          <w:rFonts w:hint="default" w:ascii="Times New Roman" w:hAnsi="Times New Roman" w:eastAsia="宋体" w:cs="Times New Roman"/>
          <w:b/>
          <w:kern w:val="2"/>
          <w:sz w:val="24"/>
          <w:szCs w:val="24"/>
          <w:highlight w:val="none"/>
          <w:lang w:val="en-US" w:eastAsia="zh-CN" w:bidi="ar-SA"/>
        </w:rPr>
        <w:t>《关于规范江苏省政府采购专家评审费标准的通知》(苏财购(2016)48号)相关规定收取费用（请各投标单位把此费用考虑在内）。</w:t>
      </w:r>
    </w:p>
    <w:p w14:paraId="7931BD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rPr>
      </w:pPr>
      <w:r>
        <w:rPr>
          <w:rFonts w:hint="eastAsia" w:ascii="宋体" w:hAnsi="宋体"/>
          <w:b/>
          <w:sz w:val="24"/>
          <w:szCs w:val="24"/>
          <w:highlight w:val="none"/>
        </w:rPr>
        <w:t>3、保密要求</w:t>
      </w:r>
    </w:p>
    <w:p w14:paraId="4F610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3.1 采购各方当事人，对采购活动过程中获悉的国家秘密、商业秘密，应当依法予以保密。</w:t>
      </w:r>
    </w:p>
    <w:p w14:paraId="74A86E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lang w:val="zh-CN"/>
        </w:rPr>
      </w:pPr>
      <w:r>
        <w:rPr>
          <w:rFonts w:hint="eastAsia" w:ascii="宋体" w:hAnsi="宋体"/>
          <w:b/>
          <w:sz w:val="24"/>
          <w:szCs w:val="24"/>
          <w:highlight w:val="none"/>
          <w:lang w:val="zh-CN"/>
        </w:rPr>
        <w:t>二、招标文件</w:t>
      </w:r>
    </w:p>
    <w:p w14:paraId="58E848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75A19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3605A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w:t>
      </w:r>
      <w:r>
        <w:rPr>
          <w:rFonts w:hint="eastAsia" w:hAnsi="宋体"/>
          <w:bCs/>
          <w:sz w:val="24"/>
          <w:szCs w:val="24"/>
          <w:lang w:val="en-US" w:eastAsia="zh-CN"/>
        </w:rPr>
        <w:t>或代理机构</w:t>
      </w:r>
      <w:r>
        <w:rPr>
          <w:rFonts w:hint="eastAsia" w:hAnsi="宋体"/>
          <w:bCs/>
          <w:sz w:val="24"/>
          <w:szCs w:val="24"/>
        </w:rPr>
        <w:t>联系解决。</w:t>
      </w:r>
    </w:p>
    <w:p w14:paraId="0D8D4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2560DD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08B84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5.1 本文件“第三章 项目技术要求和有关说明”由采购人负责解释，其他部分由</w:t>
      </w:r>
      <w:bookmarkStart w:id="4" w:name="OLE_LINK270"/>
      <w:r>
        <w:rPr>
          <w:rFonts w:hint="eastAsia" w:ascii="宋体" w:hAnsi="宋体"/>
          <w:bCs/>
          <w:sz w:val="24"/>
          <w:szCs w:val="24"/>
        </w:rPr>
        <w:t>采购人和</w:t>
      </w:r>
      <w:bookmarkEnd w:id="4"/>
      <w:r>
        <w:rPr>
          <w:rFonts w:hint="eastAsia" w:ascii="宋体" w:hAnsi="宋体"/>
          <w:bCs/>
          <w:sz w:val="24"/>
          <w:szCs w:val="24"/>
        </w:rPr>
        <w:t>采购代理机构负责解释。</w:t>
      </w:r>
    </w:p>
    <w:p w14:paraId="5E11C6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11A1A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5" w:name="OLE_LINK14"/>
      <w:bookmarkStart w:id="6" w:name="OLE_LINK161"/>
      <w:r>
        <w:rPr>
          <w:rFonts w:hint="eastAsia" w:ascii="宋体" w:hAnsi="宋体" w:cs="宋体"/>
          <w:sz w:val="24"/>
          <w:szCs w:val="24"/>
        </w:rPr>
        <w:t>采购人或者</w:t>
      </w:r>
      <w:bookmarkEnd w:id="5"/>
      <w:r>
        <w:rPr>
          <w:rFonts w:hint="eastAsia" w:ascii="宋体" w:hAnsi="宋体" w:cs="宋体"/>
          <w:sz w:val="24"/>
          <w:szCs w:val="24"/>
        </w:rPr>
        <w:t>采购代理机构</w:t>
      </w:r>
      <w:r>
        <w:rPr>
          <w:rFonts w:hint="eastAsia" w:ascii="宋体" w:hAnsi="宋体" w:cs="宋体"/>
          <w:sz w:val="24"/>
          <w:szCs w:val="24"/>
          <w:lang w:val="zh-CN"/>
        </w:rPr>
        <w:t>对已发出的招标文件进行必要澄清或者修改的，将在招标文件要求提交投标文件截止时间</w:t>
      </w:r>
      <w:r>
        <w:rPr>
          <w:rFonts w:hint="eastAsia" w:ascii="宋体" w:hAnsi="宋体" w:cs="宋体"/>
          <w:sz w:val="24"/>
          <w:szCs w:val="24"/>
        </w:rPr>
        <w:t>3</w:t>
      </w:r>
      <w:r>
        <w:rPr>
          <w:rFonts w:hint="eastAsia" w:ascii="宋体" w:hAnsi="宋体" w:cs="宋体"/>
          <w:sz w:val="24"/>
          <w:szCs w:val="24"/>
          <w:lang w:val="zh-CN"/>
        </w:rPr>
        <w:t>日前</w:t>
      </w:r>
      <w:r>
        <w:rPr>
          <w:rFonts w:hint="eastAsia" w:ascii="宋体" w:hAnsi="宋体" w:cs="宋体"/>
          <w:sz w:val="24"/>
          <w:szCs w:val="24"/>
        </w:rPr>
        <w:t>，</w:t>
      </w:r>
      <w:r>
        <w:rPr>
          <w:rFonts w:hint="eastAsia" w:ascii="宋体" w:hAnsi="宋体" w:cs="宋体"/>
          <w:sz w:val="24"/>
          <w:szCs w:val="24"/>
          <w:lang w:val="zh-CN"/>
        </w:rPr>
        <w:t>在原招标公告媒体发布更正公告。不足</w:t>
      </w:r>
      <w:r>
        <w:rPr>
          <w:rFonts w:hint="eastAsia" w:ascii="宋体" w:hAnsi="宋体" w:cs="宋体"/>
          <w:sz w:val="24"/>
          <w:szCs w:val="24"/>
        </w:rPr>
        <w:t>3日的，采购人或者采购代理机构有权决定延长投标文件的截止时间和开标时间，</w:t>
      </w:r>
      <w:r>
        <w:rPr>
          <w:rFonts w:hint="eastAsia" w:ascii="宋体" w:hAnsi="宋体" w:cs="宋体"/>
          <w:sz w:val="24"/>
          <w:szCs w:val="24"/>
          <w:lang w:val="zh-CN"/>
        </w:rPr>
        <w:t>该澄清或者修改的内容为招标文件的组成部分。</w:t>
      </w:r>
      <w:bookmarkEnd w:id="6"/>
    </w:p>
    <w:p w14:paraId="29829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6.2 投标人应在投标截止时间前关注原采购信息发布媒体上有关本招标项目有无变更公告。如投标人未及时关注，由此造成的一切损失由投标人自行承担。</w:t>
      </w:r>
    </w:p>
    <w:p w14:paraId="442A6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6.3本项目无需编制安装调试方案，对招标（编制投标文件）时间已经缩短，如投标人对此有异议，请在开标前3天以书面形式（加盖公章）向招标人提出，否则视为已经认同本项目招标时间。</w:t>
      </w:r>
    </w:p>
    <w:p w14:paraId="46016F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76802D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7" w:name="OLE_LINK16"/>
      <w:bookmarkStart w:id="8" w:name="OLE_LINK21"/>
      <w:r>
        <w:rPr>
          <w:rFonts w:hint="eastAsia" w:ascii="宋体" w:hAnsi="宋体"/>
          <w:b/>
          <w:sz w:val="24"/>
          <w:szCs w:val="24"/>
        </w:rPr>
        <w:t>7、</w:t>
      </w:r>
      <w:bookmarkStart w:id="9" w:name="OLE_LINK62"/>
      <w:r>
        <w:rPr>
          <w:rFonts w:hint="eastAsia" w:ascii="宋体" w:hAnsi="宋体"/>
          <w:b/>
          <w:sz w:val="24"/>
          <w:szCs w:val="24"/>
        </w:rPr>
        <w:t>投标文件的组成</w:t>
      </w:r>
      <w:bookmarkEnd w:id="7"/>
      <w:r>
        <w:rPr>
          <w:rFonts w:hint="eastAsia" w:ascii="宋体" w:hAnsi="宋体"/>
          <w:b/>
          <w:sz w:val="24"/>
          <w:szCs w:val="24"/>
        </w:rPr>
        <w:t>：</w:t>
      </w:r>
      <w:bookmarkStart w:id="10"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0"/>
      <w:r>
        <w:rPr>
          <w:rFonts w:hint="eastAsia" w:ascii="宋体" w:hAnsi="宋体"/>
          <w:b/>
          <w:sz w:val="24"/>
          <w:szCs w:val="24"/>
        </w:rPr>
        <w:t>。</w:t>
      </w:r>
    </w:p>
    <w:p w14:paraId="4786AFB1">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hint="eastAsia" w:ascii="宋体" w:hAnsi="宋体" w:eastAsia="宋体"/>
          <w:b/>
          <w:bCs/>
          <w:sz w:val="24"/>
          <w:szCs w:val="21"/>
          <w:lang w:val="zh-CN" w:eastAsia="zh-CN"/>
        </w:rPr>
      </w:pPr>
      <w:r>
        <w:rPr>
          <w:rFonts w:hint="eastAsia" w:ascii="宋体" w:hAnsi="宋体" w:eastAsia="宋体"/>
          <w:b/>
          <w:bCs/>
          <w:sz w:val="24"/>
          <w:szCs w:val="21"/>
          <w:lang w:val="en-US" w:eastAsia="zh-CN"/>
        </w:rPr>
        <w:t xml:space="preserve">7.1 </w:t>
      </w:r>
      <w:bookmarkStart w:id="11" w:name="OLE_LINK51"/>
      <w:bookmarkStart w:id="12" w:name="OLE_LINK92"/>
      <w:r>
        <w:rPr>
          <w:rFonts w:hint="eastAsia" w:ascii="宋体" w:hAnsi="宋体" w:eastAsia="宋体"/>
          <w:b/>
          <w:bCs/>
          <w:sz w:val="24"/>
          <w:szCs w:val="21"/>
          <w:lang w:val="zh-CN" w:eastAsia="zh-CN"/>
        </w:rPr>
        <w:t>投标函</w:t>
      </w:r>
      <w:bookmarkStart w:id="13" w:name="OLE_LINK17"/>
      <w:r>
        <w:rPr>
          <w:rFonts w:hint="eastAsia" w:ascii="宋体" w:hAnsi="宋体" w:eastAsia="宋体"/>
          <w:b/>
          <w:bCs/>
          <w:sz w:val="24"/>
          <w:szCs w:val="21"/>
          <w:lang w:val="zh-CN" w:eastAsia="zh-CN"/>
        </w:rPr>
        <w:t>（格式见附件）</w:t>
      </w:r>
      <w:bookmarkEnd w:id="13"/>
      <w:r>
        <w:rPr>
          <w:rFonts w:hint="eastAsia" w:ascii="宋体" w:hAnsi="宋体" w:eastAsia="宋体"/>
          <w:b/>
          <w:bCs/>
          <w:sz w:val="24"/>
          <w:szCs w:val="21"/>
          <w:lang w:val="zh-CN" w:eastAsia="zh-CN"/>
        </w:rPr>
        <w:t>；</w:t>
      </w:r>
    </w:p>
    <w:p w14:paraId="4A816635">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b/>
          <w:bCs/>
          <w:sz w:val="24"/>
          <w:szCs w:val="21"/>
          <w:lang w:val="zh-CN"/>
        </w:rPr>
      </w:pPr>
      <w:r>
        <w:rPr>
          <w:rFonts w:hint="eastAsia" w:ascii="宋体" w:hAnsi="宋体"/>
          <w:b/>
          <w:bCs/>
          <w:sz w:val="24"/>
          <w:szCs w:val="21"/>
          <w:lang w:val="en-US" w:eastAsia="zh-CN"/>
        </w:rPr>
        <w:t>7.2</w:t>
      </w:r>
      <w:r>
        <w:rPr>
          <w:rFonts w:hint="eastAsia" w:ascii="宋体" w:hAnsi="宋体"/>
          <w:b/>
          <w:bCs/>
          <w:sz w:val="24"/>
          <w:szCs w:val="21"/>
          <w:lang w:val="zh-CN"/>
        </w:rPr>
        <w:t>报价文件：</w:t>
      </w:r>
    </w:p>
    <w:p w14:paraId="0803A916">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425" w:leftChars="0"/>
        <w:textAlignment w:val="auto"/>
        <w:rPr>
          <w:rFonts w:hint="eastAsia" w:ascii="宋体" w:hAnsi="宋体"/>
          <w:sz w:val="24"/>
          <w:szCs w:val="21"/>
          <w:lang w:val="zh-CN"/>
        </w:rPr>
      </w:pPr>
      <w:r>
        <w:rPr>
          <w:rFonts w:hint="eastAsia" w:ascii="宋体" w:hAnsi="宋体"/>
          <w:sz w:val="24"/>
          <w:szCs w:val="24"/>
          <w:lang w:val="en-US" w:eastAsia="zh-CN"/>
        </w:rPr>
        <w:t>7.2.1</w:t>
      </w:r>
      <w:r>
        <w:rPr>
          <w:rFonts w:hint="eastAsia" w:ascii="宋体" w:hAnsi="宋体"/>
          <w:sz w:val="24"/>
          <w:szCs w:val="24"/>
          <w:lang w:val="zh-CN"/>
        </w:rPr>
        <w:t>开标一览表</w:t>
      </w:r>
      <w:r>
        <w:rPr>
          <w:rFonts w:hint="eastAsia" w:ascii="宋体" w:hAnsi="宋体"/>
          <w:sz w:val="24"/>
          <w:szCs w:val="24"/>
          <w:lang w:val="zh-CN" w:eastAsia="zh-CN"/>
        </w:rPr>
        <w:t>（格式见附件）</w:t>
      </w:r>
      <w:r>
        <w:rPr>
          <w:rFonts w:hint="eastAsia" w:ascii="宋体" w:hAnsi="宋体"/>
          <w:sz w:val="24"/>
          <w:szCs w:val="21"/>
          <w:lang w:val="zh-CN"/>
        </w:rPr>
        <w:t>；</w:t>
      </w:r>
    </w:p>
    <w:p w14:paraId="36A0A477">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425" w:leftChars="0"/>
        <w:textAlignment w:val="auto"/>
        <w:rPr>
          <w:rFonts w:hint="default" w:ascii="宋体" w:hAnsi="宋体" w:eastAsia="宋体"/>
          <w:sz w:val="24"/>
          <w:szCs w:val="21"/>
          <w:lang w:val="en-US" w:eastAsia="zh-CN"/>
        </w:rPr>
      </w:pPr>
      <w:r>
        <w:rPr>
          <w:rFonts w:hint="eastAsia" w:ascii="宋体" w:hAnsi="宋体"/>
          <w:sz w:val="24"/>
          <w:szCs w:val="21"/>
          <w:lang w:val="en-US" w:eastAsia="zh-CN"/>
        </w:rPr>
        <w:t>7.2.2投标明细报价表（格式见附件）；</w:t>
      </w:r>
    </w:p>
    <w:p w14:paraId="58544FDD">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b/>
          <w:bCs/>
          <w:sz w:val="24"/>
          <w:szCs w:val="24"/>
        </w:rPr>
      </w:pPr>
      <w:bookmarkStart w:id="14" w:name="OLE_LINK20"/>
      <w:r>
        <w:rPr>
          <w:rFonts w:hint="eastAsia" w:ascii="宋体" w:hAnsi="宋体" w:cs="Times New Roman"/>
          <w:b/>
          <w:bCs/>
          <w:kern w:val="2"/>
          <w:sz w:val="24"/>
          <w:szCs w:val="24"/>
          <w:lang w:val="en-US" w:eastAsia="zh-CN" w:bidi="ar-SA"/>
        </w:rPr>
        <w:t>7.3</w:t>
      </w:r>
      <w:r>
        <w:rPr>
          <w:rFonts w:hint="eastAsia" w:ascii="宋体" w:hAnsi="宋体"/>
          <w:b/>
          <w:bCs/>
          <w:sz w:val="24"/>
          <w:szCs w:val="24"/>
        </w:rPr>
        <w:t>资格证明文件</w:t>
      </w:r>
      <w:bookmarkEnd w:id="14"/>
      <w:r>
        <w:rPr>
          <w:rFonts w:hint="eastAsia" w:ascii="宋体" w:hAnsi="宋体"/>
          <w:b/>
          <w:bCs/>
          <w:sz w:val="24"/>
          <w:szCs w:val="24"/>
        </w:rPr>
        <w:t>：</w:t>
      </w:r>
    </w:p>
    <w:p w14:paraId="1E3D4508">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szCs w:val="24"/>
          <w:highlight w:val="none"/>
          <w:lang w:val="zh-CN"/>
        </w:rPr>
      </w:pPr>
      <w:bookmarkStart w:id="15" w:name="OLE_LINK8"/>
      <w:bookmarkStart w:id="16" w:name="OLE_LINK113"/>
      <w:r>
        <w:rPr>
          <w:rFonts w:hint="eastAsia" w:ascii="宋体" w:hAnsi="宋体" w:cs="Times New Roman"/>
          <w:bCs/>
          <w:kern w:val="2"/>
          <w:sz w:val="24"/>
          <w:szCs w:val="24"/>
          <w:highlight w:val="none"/>
          <w:lang w:val="en-US" w:eastAsia="zh-CN" w:bidi="ar-SA"/>
        </w:rPr>
        <w:t>7.3.1</w:t>
      </w:r>
      <w:r>
        <w:rPr>
          <w:rFonts w:hint="eastAsia" w:ascii="宋体" w:hAnsi="宋体"/>
          <w:bCs/>
          <w:sz w:val="24"/>
          <w:szCs w:val="24"/>
          <w:highlight w:val="none"/>
          <w:lang w:val="zh-CN"/>
        </w:rPr>
        <w:t>关于资格的声明函</w:t>
      </w:r>
      <w:r>
        <w:rPr>
          <w:rFonts w:hint="eastAsia" w:ascii="宋体" w:hAnsi="宋体"/>
          <w:bCs/>
          <w:sz w:val="24"/>
          <w:szCs w:val="24"/>
          <w:highlight w:val="none"/>
        </w:rPr>
        <w:t>（附法定代表人身份证复印件（正反两面））；</w:t>
      </w:r>
    </w:p>
    <w:p w14:paraId="26182783">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szCs w:val="24"/>
          <w:highlight w:val="none"/>
          <w:lang w:val="zh-CN"/>
        </w:rPr>
      </w:pPr>
      <w:r>
        <w:rPr>
          <w:rFonts w:hint="eastAsia" w:ascii="宋体" w:hAnsi="宋体" w:cs="Times New Roman"/>
          <w:bCs/>
          <w:kern w:val="2"/>
          <w:sz w:val="24"/>
          <w:szCs w:val="24"/>
          <w:highlight w:val="none"/>
          <w:lang w:val="en-US" w:eastAsia="zh-CN" w:bidi="ar-SA"/>
        </w:rPr>
        <w:t>7.3.2</w:t>
      </w:r>
      <w:r>
        <w:rPr>
          <w:rFonts w:hint="eastAsia" w:ascii="宋体" w:hAnsi="宋体"/>
          <w:bCs/>
          <w:sz w:val="24"/>
          <w:szCs w:val="24"/>
          <w:highlight w:val="none"/>
        </w:rPr>
        <w:t>投标人法定代表人授权委托书原件及被授权代表的身份证（法定代表人亲自参加的除外）(</w:t>
      </w:r>
      <w:r>
        <w:rPr>
          <w:rFonts w:hint="eastAsia" w:ascii="宋体" w:hAnsi="宋体"/>
          <w:b/>
          <w:bCs/>
          <w:sz w:val="24"/>
          <w:szCs w:val="24"/>
          <w:highlight w:val="none"/>
        </w:rPr>
        <w:t>投标时须提交身份证</w:t>
      </w:r>
      <w:r>
        <w:rPr>
          <w:rFonts w:ascii="宋体" w:hAnsi="宋体"/>
          <w:b/>
          <w:bCs/>
          <w:sz w:val="24"/>
          <w:szCs w:val="24"/>
          <w:highlight w:val="none"/>
        </w:rPr>
        <w:t>原件</w:t>
      </w:r>
      <w:r>
        <w:rPr>
          <w:rFonts w:hint="eastAsia" w:ascii="宋体" w:hAnsi="宋体"/>
          <w:b/>
          <w:bCs/>
          <w:sz w:val="24"/>
          <w:szCs w:val="24"/>
          <w:highlight w:val="none"/>
        </w:rPr>
        <w:t>）</w:t>
      </w:r>
      <w:r>
        <w:rPr>
          <w:rFonts w:hint="eastAsia" w:ascii="宋体" w:hAnsi="宋体"/>
          <w:bCs/>
          <w:sz w:val="24"/>
          <w:szCs w:val="24"/>
          <w:highlight w:val="none"/>
        </w:rPr>
        <w:t>；</w:t>
      </w:r>
    </w:p>
    <w:p w14:paraId="6FA60C33">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szCs w:val="24"/>
          <w:highlight w:val="none"/>
          <w:lang w:val="zh-CN"/>
        </w:rPr>
      </w:pPr>
      <w:r>
        <w:rPr>
          <w:rFonts w:hint="eastAsia" w:ascii="宋体" w:hAnsi="宋体" w:cs="Times New Roman"/>
          <w:bCs/>
          <w:kern w:val="2"/>
          <w:sz w:val="24"/>
          <w:szCs w:val="24"/>
          <w:highlight w:val="none"/>
          <w:lang w:val="en-US" w:eastAsia="zh-CN" w:bidi="ar-SA"/>
        </w:rPr>
        <w:t>7.3.3</w:t>
      </w:r>
      <w:r>
        <w:rPr>
          <w:rFonts w:hint="eastAsia" w:ascii="宋体" w:hAnsi="宋体"/>
          <w:bCs/>
          <w:sz w:val="24"/>
          <w:szCs w:val="24"/>
          <w:highlight w:val="none"/>
          <w:lang w:val="zh-CN"/>
        </w:rPr>
        <w:t>具有独立承担民事责任的能力：投标人为法人或其他组织的提供营业执照或法人（登记）证书，投标人为自然人的提供自然人身份证；</w:t>
      </w:r>
      <w:r>
        <w:rPr>
          <w:rFonts w:hint="eastAsia" w:ascii="宋体" w:hAnsi="宋体"/>
          <w:b/>
          <w:bCs w:val="0"/>
          <w:sz w:val="24"/>
          <w:szCs w:val="24"/>
          <w:highlight w:val="none"/>
          <w:lang w:val="zh-CN"/>
        </w:rPr>
        <w:t>（开标时提供原件或公证件）；</w:t>
      </w:r>
    </w:p>
    <w:p w14:paraId="5ABE5506">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7.3.4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0E320A41">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7.3.5</w:t>
      </w:r>
      <w:r>
        <w:rPr>
          <w:rFonts w:hint="eastAsia" w:ascii="宋体" w:hAnsi="宋体"/>
          <w:sz w:val="24"/>
          <w:szCs w:val="24"/>
          <w:highlight w:val="none"/>
        </w:rPr>
        <w:t>投标人依法缴纳</w:t>
      </w:r>
      <w:bookmarkStart w:id="17" w:name="OLE_LINK181"/>
      <w:r>
        <w:rPr>
          <w:rFonts w:hint="eastAsia" w:ascii="宋体" w:hAnsi="宋体"/>
          <w:sz w:val="24"/>
          <w:szCs w:val="24"/>
          <w:highlight w:val="none"/>
        </w:rPr>
        <w:t>近十二个月</w:t>
      </w:r>
      <w:bookmarkEnd w:id="17"/>
      <w:r>
        <w:rPr>
          <w:rFonts w:hint="eastAsia" w:ascii="宋体" w:hAnsi="宋体"/>
          <w:sz w:val="24"/>
          <w:szCs w:val="24"/>
          <w:highlight w:val="none"/>
        </w:rPr>
        <w:t>中任意一个月份税收的相关材料（提供相关主管部门证明或银行代扣证明）复印件；</w:t>
      </w:r>
    </w:p>
    <w:bookmarkEnd w:id="15"/>
    <w:p w14:paraId="4A75B96C">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highlight w:val="none"/>
        </w:rPr>
      </w:pPr>
      <w:r>
        <w:rPr>
          <w:rFonts w:hint="eastAsia" w:ascii="宋体" w:hAnsi="宋体" w:cs="宋体"/>
          <w:kern w:val="2"/>
          <w:sz w:val="24"/>
          <w:szCs w:val="24"/>
          <w:highlight w:val="none"/>
          <w:lang w:val="en-US" w:eastAsia="zh-CN" w:bidi="ar-SA"/>
        </w:rPr>
        <w:t>7.3.6</w:t>
      </w:r>
      <w:r>
        <w:rPr>
          <w:rFonts w:hint="eastAsia" w:ascii="宋体" w:hAnsi="宋体" w:cs="宋体"/>
          <w:color w:val="000000"/>
          <w:sz w:val="24"/>
          <w:szCs w:val="24"/>
          <w:highlight w:val="none"/>
        </w:rPr>
        <w:t>投标人依法缴纳</w:t>
      </w:r>
      <w:r>
        <w:rPr>
          <w:rFonts w:hint="eastAsia" w:ascii="宋体" w:hAnsi="宋体"/>
          <w:color w:val="000000"/>
          <w:sz w:val="24"/>
          <w:szCs w:val="24"/>
          <w:highlight w:val="none"/>
        </w:rPr>
        <w:t>近十二个月中任意一个月份</w:t>
      </w:r>
      <w:r>
        <w:rPr>
          <w:rFonts w:hint="eastAsia" w:ascii="宋体" w:hAnsi="宋体" w:cs="宋体"/>
          <w:color w:val="000000"/>
          <w:sz w:val="24"/>
          <w:szCs w:val="24"/>
          <w:highlight w:val="none"/>
        </w:rPr>
        <w:t>社会保障资金的相关材料（提供相关主管部门证明或银</w:t>
      </w:r>
      <w:r>
        <w:rPr>
          <w:rFonts w:hint="eastAsia" w:ascii="宋体" w:hAnsi="宋体"/>
          <w:color w:val="000000"/>
          <w:sz w:val="24"/>
          <w:szCs w:val="21"/>
          <w:highlight w:val="none"/>
        </w:rPr>
        <w:t>行代扣证明）复印件；</w:t>
      </w:r>
    </w:p>
    <w:p w14:paraId="258AF47A">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highlight w:val="none"/>
        </w:rPr>
      </w:pPr>
      <w:r>
        <w:rPr>
          <w:rFonts w:hint="eastAsia" w:ascii="宋体" w:hAnsi="宋体" w:cs="宋体"/>
          <w:kern w:val="2"/>
          <w:sz w:val="24"/>
          <w:szCs w:val="24"/>
          <w:highlight w:val="none"/>
          <w:lang w:val="en-US" w:eastAsia="zh-CN" w:bidi="ar-SA"/>
        </w:rPr>
        <w:t>7.3.7</w:t>
      </w:r>
      <w:r>
        <w:rPr>
          <w:rFonts w:hint="eastAsia" w:ascii="宋体" w:hAnsi="宋体" w:cs="宋体"/>
          <w:sz w:val="24"/>
          <w:szCs w:val="24"/>
          <w:highlight w:val="none"/>
        </w:rPr>
        <w:t>投标人（或其全资子公司、分公司）为本项目被授权代表在近三个月内任意一个月缴纳的社保证明复印件（提供相关主管部门证明或银行代扣证明，法定代表人亲自参加报价的除外）；</w:t>
      </w:r>
    </w:p>
    <w:p w14:paraId="5B91A9E3">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highlight w:val="none"/>
        </w:rPr>
      </w:pPr>
      <w:r>
        <w:rPr>
          <w:rFonts w:hint="eastAsia" w:ascii="宋体" w:hAnsi="宋体" w:cs="宋体"/>
          <w:kern w:val="2"/>
          <w:sz w:val="24"/>
          <w:szCs w:val="24"/>
          <w:highlight w:val="none"/>
          <w:lang w:val="en-US" w:eastAsia="zh-CN" w:bidi="ar-SA"/>
        </w:rPr>
        <w:t>7.3.8</w:t>
      </w:r>
      <w:r>
        <w:rPr>
          <w:rFonts w:hint="eastAsia" w:ascii="宋体" w:hAnsi="宋体"/>
          <w:sz w:val="24"/>
          <w:szCs w:val="21"/>
          <w:highlight w:val="none"/>
        </w:rPr>
        <w:t>投标保证金交纳证明复印件</w:t>
      </w:r>
      <w:r>
        <w:rPr>
          <w:rFonts w:hint="eastAsia" w:ascii="宋体" w:hAnsi="宋体"/>
          <w:b/>
          <w:sz w:val="24"/>
          <w:szCs w:val="21"/>
          <w:highlight w:val="none"/>
        </w:rPr>
        <w:t>（银行转账）</w:t>
      </w:r>
      <w:r>
        <w:rPr>
          <w:rFonts w:hint="eastAsia" w:ascii="宋体" w:hAnsi="宋体"/>
          <w:sz w:val="24"/>
          <w:szCs w:val="21"/>
          <w:highlight w:val="none"/>
        </w:rPr>
        <w:t>；</w:t>
      </w:r>
    </w:p>
    <w:p w14:paraId="3794128E">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7.3.9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r>
        <w:rPr>
          <w:rFonts w:hint="eastAsia" w:ascii="宋体" w:hAnsi="宋体" w:cs="宋体"/>
          <w:b/>
          <w:bCs/>
          <w:sz w:val="24"/>
          <w:szCs w:val="24"/>
          <w:highlight w:val="none"/>
          <w:lang w:val="en-US" w:eastAsia="zh-CN"/>
        </w:rPr>
        <w:t>（若投标人企业信息已录入以上网站的，无需提供相关证明材料；若投标人企业信息未录入以上网站的，须在投标文件中提供无不良信用记录承诺书）；</w:t>
      </w:r>
    </w:p>
    <w:p w14:paraId="09363584">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7.3.10投标人2023年1月1日以来（以发票开具时间为准）有过类似产品的销售业绩。</w:t>
      </w:r>
      <w:r>
        <w:rPr>
          <w:rFonts w:hint="eastAsia" w:ascii="宋体" w:hAnsi="宋体" w:cs="宋体"/>
          <w:sz w:val="24"/>
          <w:szCs w:val="24"/>
          <w:highlight w:val="none"/>
        </w:rPr>
        <w:t>（</w:t>
      </w:r>
      <w:r>
        <w:rPr>
          <w:rFonts w:hint="eastAsia" w:ascii="宋体" w:hAnsi="宋体" w:cs="宋体"/>
          <w:b/>
          <w:sz w:val="24"/>
          <w:szCs w:val="24"/>
          <w:highlight w:val="none"/>
        </w:rPr>
        <w:t>需提供</w:t>
      </w:r>
      <w:r>
        <w:rPr>
          <w:rFonts w:hint="eastAsia" w:ascii="宋体" w:hAnsi="宋体" w:cs="宋体"/>
          <w:b/>
          <w:sz w:val="24"/>
          <w:szCs w:val="24"/>
          <w:highlight w:val="none"/>
          <w:lang w:val="en-US" w:eastAsia="zh-CN"/>
        </w:rPr>
        <w:t>以上产品的销售</w:t>
      </w:r>
      <w:r>
        <w:rPr>
          <w:rFonts w:hint="eastAsia" w:ascii="宋体" w:hAnsi="宋体" w:cs="宋体"/>
          <w:b/>
          <w:sz w:val="24"/>
          <w:szCs w:val="24"/>
          <w:highlight w:val="none"/>
        </w:rPr>
        <w:t>合同复印件及与合同对应的任意一次已收款的发票复印件加盖供应商公章放入投标文件中，投标时合同原件、发票原件</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电子件</w:t>
      </w:r>
      <w:r>
        <w:rPr>
          <w:rFonts w:hint="eastAsia" w:ascii="宋体" w:hAnsi="宋体" w:cs="宋体"/>
          <w:b/>
          <w:sz w:val="24"/>
          <w:szCs w:val="24"/>
          <w:highlight w:val="none"/>
          <w:lang w:eastAsia="zh-CN"/>
        </w:rPr>
        <w:t>）</w:t>
      </w:r>
      <w:r>
        <w:rPr>
          <w:rFonts w:hint="eastAsia" w:ascii="宋体" w:hAnsi="宋体" w:cs="宋体"/>
          <w:b/>
          <w:sz w:val="24"/>
          <w:szCs w:val="24"/>
          <w:highlight w:val="none"/>
        </w:rPr>
        <w:t>随投标文件一并递交</w:t>
      </w:r>
      <w:r>
        <w:rPr>
          <w:rFonts w:hint="eastAsia" w:ascii="宋体" w:hAnsi="宋体" w:cs="宋体"/>
          <w:sz w:val="24"/>
          <w:szCs w:val="24"/>
          <w:highlight w:val="none"/>
        </w:rPr>
        <w:t>）</w:t>
      </w:r>
    </w:p>
    <w:p w14:paraId="44129015">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rPr>
          <w:highlight w:val="none"/>
        </w:rPr>
      </w:pPr>
      <w:r>
        <w:rPr>
          <w:rFonts w:hint="eastAsia" w:ascii="宋体" w:hAnsi="宋体"/>
          <w:b/>
          <w:bCs/>
          <w:sz w:val="24"/>
          <w:szCs w:val="24"/>
          <w:highlight w:val="none"/>
        </w:rPr>
        <w:t>注：以上“近十二个月</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近三个月</w:t>
      </w:r>
      <w:r>
        <w:rPr>
          <w:rFonts w:hint="eastAsia" w:ascii="宋体" w:hAnsi="宋体"/>
          <w:b/>
          <w:bCs/>
          <w:sz w:val="24"/>
          <w:szCs w:val="24"/>
          <w:highlight w:val="none"/>
        </w:rPr>
        <w:t>”</w:t>
      </w:r>
      <w:r>
        <w:rPr>
          <w:rFonts w:hint="eastAsia" w:ascii="宋体" w:hAnsi="宋体"/>
          <w:b/>
          <w:bCs/>
          <w:sz w:val="24"/>
          <w:szCs w:val="24"/>
          <w:highlight w:val="none"/>
          <w:lang w:val="en-US" w:eastAsia="zh-CN"/>
        </w:rPr>
        <w:t>均</w:t>
      </w:r>
      <w:r>
        <w:rPr>
          <w:rFonts w:hint="eastAsia" w:ascii="宋体" w:hAnsi="宋体"/>
          <w:b/>
          <w:bCs/>
          <w:sz w:val="24"/>
          <w:szCs w:val="24"/>
          <w:highlight w:val="none"/>
        </w:rPr>
        <w:t>指投标截止日之前（不含投标当月）。</w:t>
      </w:r>
    </w:p>
    <w:bookmarkEnd w:id="16"/>
    <w:p w14:paraId="78DA1201">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rPr>
      </w:pPr>
      <w:r>
        <w:rPr>
          <w:rFonts w:hint="eastAsia" w:ascii="宋体" w:hAnsi="宋体" w:cs="Times New Roman"/>
          <w:kern w:val="2"/>
          <w:sz w:val="24"/>
          <w:szCs w:val="24"/>
          <w:highlight w:val="none"/>
          <w:lang w:val="en-US" w:eastAsia="zh-CN" w:bidi="ar-SA"/>
        </w:rPr>
        <w:t>7.4</w:t>
      </w:r>
      <w:r>
        <w:rPr>
          <w:rFonts w:hint="eastAsia" w:ascii="宋体" w:hAnsi="宋体"/>
          <w:sz w:val="24"/>
          <w:szCs w:val="24"/>
          <w:highlight w:val="none"/>
          <w:lang w:val="zh-CN"/>
        </w:rPr>
        <w:t>技术参数及相关要求偏离</w:t>
      </w:r>
      <w:r>
        <w:rPr>
          <w:rFonts w:hint="eastAsia" w:ascii="宋体" w:hAnsi="宋体"/>
          <w:sz w:val="24"/>
          <w:szCs w:val="24"/>
          <w:lang w:val="zh-CN"/>
        </w:rPr>
        <w:t>表</w:t>
      </w:r>
    </w:p>
    <w:p w14:paraId="39C80BFB">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rPr>
      </w:pPr>
      <w:bookmarkStart w:id="18" w:name="OLE_LINK115"/>
      <w:r>
        <w:rPr>
          <w:rFonts w:hint="eastAsia" w:ascii="宋体" w:hAnsi="宋体" w:cs="Times New Roman"/>
          <w:kern w:val="2"/>
          <w:sz w:val="24"/>
          <w:szCs w:val="24"/>
          <w:lang w:val="en-US" w:eastAsia="zh-CN" w:bidi="ar-SA"/>
        </w:rPr>
        <w:t>7.5</w:t>
      </w:r>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w:t>
      </w:r>
      <w:r>
        <w:rPr>
          <w:rFonts w:hint="eastAsia" w:ascii="宋体" w:hAnsi="宋体"/>
          <w:sz w:val="24"/>
          <w:szCs w:val="24"/>
          <w:highlight w:val="none"/>
        </w:rPr>
        <w:t>加）</w:t>
      </w:r>
      <w:bookmarkEnd w:id="18"/>
      <w:r>
        <w:rPr>
          <w:rFonts w:hint="eastAsia" w:ascii="宋体" w:hAnsi="宋体"/>
          <w:sz w:val="24"/>
          <w:szCs w:val="24"/>
          <w:highlight w:val="none"/>
          <w:lang w:eastAsia="zh-CN"/>
        </w:rPr>
        <w:t>；</w:t>
      </w:r>
    </w:p>
    <w:p w14:paraId="3D7D8222">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rPr>
      </w:pPr>
      <w:r>
        <w:rPr>
          <w:rFonts w:hint="eastAsia" w:ascii="宋体" w:hAnsi="宋体" w:cs="Times New Roman"/>
          <w:kern w:val="2"/>
          <w:sz w:val="24"/>
          <w:szCs w:val="24"/>
          <w:highlight w:val="none"/>
          <w:lang w:val="en-US" w:eastAsia="zh-CN" w:bidi="ar-SA"/>
        </w:rPr>
        <w:t>7.6</w:t>
      </w:r>
      <w:r>
        <w:rPr>
          <w:rFonts w:hint="eastAsia" w:ascii="宋体" w:hAnsi="宋体"/>
          <w:sz w:val="24"/>
          <w:szCs w:val="24"/>
          <w:highlight w:val="none"/>
        </w:rPr>
        <w:t>诚信要求</w:t>
      </w:r>
      <w:r>
        <w:rPr>
          <w:rFonts w:hint="eastAsia" w:ascii="宋体" w:hAnsi="宋体"/>
          <w:sz w:val="24"/>
          <w:szCs w:val="24"/>
          <w:highlight w:val="none"/>
          <w:lang w:val="zh-CN" w:eastAsia="zh-CN"/>
        </w:rPr>
        <w:t>（格式见附件）</w:t>
      </w:r>
      <w:r>
        <w:rPr>
          <w:rFonts w:hint="eastAsia" w:ascii="宋体" w:hAnsi="宋体"/>
          <w:sz w:val="24"/>
          <w:szCs w:val="24"/>
          <w:highlight w:val="none"/>
          <w:lang w:eastAsia="zh-CN"/>
        </w:rPr>
        <w:t>；</w:t>
      </w:r>
    </w:p>
    <w:p w14:paraId="3D8DA78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5" w:leftChars="0" w:firstLine="420" w:firstLineChars="0"/>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7.7品牌承诺表（格式见附件）；</w:t>
      </w:r>
    </w:p>
    <w:p w14:paraId="5F7AA2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lang w:val="zh-CN"/>
        </w:rPr>
      </w:pPr>
      <w:r>
        <w:rPr>
          <w:rFonts w:hint="eastAsia" w:ascii="宋体" w:hAnsi="宋体" w:cs="Times New Roman"/>
          <w:kern w:val="2"/>
          <w:sz w:val="24"/>
          <w:szCs w:val="24"/>
          <w:highlight w:val="none"/>
          <w:lang w:val="en-US" w:eastAsia="zh-CN" w:bidi="ar-SA"/>
        </w:rPr>
        <w:t>7.8</w:t>
      </w:r>
      <w:r>
        <w:rPr>
          <w:rFonts w:hint="eastAsia" w:ascii="宋体" w:hAnsi="宋体"/>
          <w:sz w:val="24"/>
          <w:szCs w:val="24"/>
          <w:highlight w:val="none"/>
        </w:rPr>
        <w:t>要求采购人提供的配合（</w:t>
      </w:r>
      <w:bookmarkStart w:id="19" w:name="OLE_LINK4"/>
      <w:r>
        <w:rPr>
          <w:rFonts w:hint="eastAsia" w:ascii="宋体" w:hAnsi="宋体"/>
          <w:sz w:val="24"/>
          <w:szCs w:val="24"/>
          <w:highlight w:val="none"/>
        </w:rPr>
        <w:t>如有自拟并自行添加</w:t>
      </w:r>
      <w:bookmarkEnd w:id="19"/>
      <w:r>
        <w:rPr>
          <w:rFonts w:hint="eastAsia" w:ascii="宋体" w:hAnsi="宋体"/>
          <w:sz w:val="24"/>
          <w:szCs w:val="24"/>
          <w:highlight w:val="none"/>
        </w:rPr>
        <w:t>）</w:t>
      </w:r>
      <w:r>
        <w:rPr>
          <w:rFonts w:hint="eastAsia" w:ascii="宋体" w:hAnsi="宋体"/>
          <w:sz w:val="24"/>
          <w:szCs w:val="24"/>
          <w:highlight w:val="none"/>
          <w:lang w:eastAsia="zh-CN"/>
        </w:rPr>
        <w:t>；</w:t>
      </w:r>
    </w:p>
    <w:p w14:paraId="4831B5A8">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lang w:val="zh-CN"/>
        </w:rPr>
      </w:pPr>
      <w:bookmarkStart w:id="20" w:name="OLE_LINK116"/>
      <w:r>
        <w:rPr>
          <w:rFonts w:hint="eastAsia" w:ascii="宋体" w:hAnsi="宋体" w:cs="Times New Roman"/>
          <w:kern w:val="2"/>
          <w:sz w:val="24"/>
          <w:szCs w:val="24"/>
          <w:highlight w:val="none"/>
          <w:lang w:val="en-US" w:eastAsia="zh-CN" w:bidi="ar-SA"/>
        </w:rPr>
        <w:t>7.8</w:t>
      </w:r>
      <w:r>
        <w:rPr>
          <w:rFonts w:hint="eastAsia" w:ascii="宋体" w:hAnsi="宋体"/>
          <w:sz w:val="24"/>
          <w:szCs w:val="24"/>
          <w:highlight w:val="none"/>
          <w:lang w:val="zh-CN"/>
        </w:rPr>
        <w:t>其他（投标人认为有必要提供的声明和文件，</w:t>
      </w:r>
      <w:r>
        <w:rPr>
          <w:rFonts w:hint="eastAsia" w:ascii="宋体" w:hAnsi="宋体"/>
          <w:sz w:val="24"/>
          <w:szCs w:val="24"/>
          <w:highlight w:val="none"/>
        </w:rPr>
        <w:t>如有自拟并自行添加）</w:t>
      </w:r>
      <w:bookmarkEnd w:id="20"/>
    </w:p>
    <w:bookmarkEnd w:id="8"/>
    <w:bookmarkEnd w:id="9"/>
    <w:bookmarkEnd w:id="11"/>
    <w:p w14:paraId="221747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highlight w:val="none"/>
          <w:lang w:val="zh-CN"/>
        </w:rPr>
        <w:t>注：上述</w:t>
      </w:r>
      <w:r>
        <w:rPr>
          <w:rFonts w:hint="eastAsia" w:ascii="宋体" w:hAnsi="宋体"/>
          <w:b/>
          <w:sz w:val="24"/>
          <w:szCs w:val="24"/>
          <w:highlight w:val="none"/>
        </w:rPr>
        <w:t>（</w:t>
      </w:r>
      <w:r>
        <w:rPr>
          <w:rFonts w:hint="eastAsia" w:ascii="宋体" w:hAnsi="宋体"/>
          <w:b/>
          <w:sz w:val="24"/>
          <w:szCs w:val="24"/>
          <w:highlight w:val="none"/>
          <w:lang w:val="en-US" w:eastAsia="zh-CN"/>
        </w:rPr>
        <w:t>7.</w:t>
      </w:r>
      <w:r>
        <w:rPr>
          <w:rFonts w:hint="eastAsia" w:ascii="宋体" w:hAnsi="宋体"/>
          <w:b/>
          <w:sz w:val="24"/>
          <w:szCs w:val="24"/>
          <w:highlight w:val="none"/>
        </w:rPr>
        <w:t>1）-</w:t>
      </w:r>
      <w:r>
        <w:rPr>
          <w:rFonts w:hint="eastAsia" w:ascii="仿宋" w:hAnsi="仿宋" w:eastAsia="仿宋"/>
          <w:b/>
          <w:sz w:val="24"/>
          <w:szCs w:val="24"/>
          <w:highlight w:val="none"/>
        </w:rPr>
        <w:t>（</w:t>
      </w:r>
      <w:r>
        <w:rPr>
          <w:rFonts w:hint="eastAsia" w:ascii="仿宋" w:hAnsi="仿宋" w:eastAsia="仿宋"/>
          <w:b/>
          <w:sz w:val="24"/>
          <w:szCs w:val="24"/>
          <w:highlight w:val="none"/>
          <w:lang w:val="en-US" w:eastAsia="zh-CN"/>
        </w:rPr>
        <w:t>7.7</w:t>
      </w:r>
      <w:r>
        <w:rPr>
          <w:rFonts w:hint="eastAsia" w:ascii="仿宋" w:hAnsi="仿宋" w:eastAsia="仿宋"/>
          <w:b/>
          <w:sz w:val="24"/>
          <w:szCs w:val="24"/>
          <w:highlight w:val="none"/>
        </w:rPr>
        <w:t>）</w:t>
      </w:r>
      <w:r>
        <w:rPr>
          <w:rFonts w:hint="eastAsia" w:ascii="宋体" w:hAnsi="宋体"/>
          <w:b/>
          <w:bCs/>
          <w:sz w:val="24"/>
          <w:szCs w:val="24"/>
          <w:highlight w:val="none"/>
          <w:lang w:val="zh-CN"/>
        </w:rPr>
        <w:t>项投标人必须按要求全部提供，否则投标无效。</w:t>
      </w:r>
      <w:r>
        <w:rPr>
          <w:rFonts w:hint="eastAsia" w:ascii="宋体" w:hAnsi="宋体"/>
          <w:b/>
          <w:sz w:val="24"/>
          <w:szCs w:val="24"/>
          <w:highlight w:val="none"/>
        </w:rPr>
        <w:t>若要求提交原件的，投标人应在</w:t>
      </w:r>
      <w:r>
        <w:rPr>
          <w:rFonts w:hint="eastAsia" w:ascii="宋体" w:hAnsi="宋体"/>
          <w:b/>
          <w:sz w:val="24"/>
          <w:szCs w:val="24"/>
          <w:highlight w:val="none"/>
          <w:lang w:val="zh-CN"/>
        </w:rPr>
        <w:t>投标截止时间</w:t>
      </w:r>
      <w:r>
        <w:rPr>
          <w:rFonts w:hint="eastAsia" w:ascii="宋体" w:hAnsi="宋体"/>
          <w:b/>
          <w:sz w:val="24"/>
          <w:szCs w:val="24"/>
          <w:highlight w:val="none"/>
        </w:rPr>
        <w:t>之前将相关原件与投标文件一并提交。</w:t>
      </w:r>
      <w:r>
        <w:rPr>
          <w:rFonts w:hint="eastAsia" w:ascii="宋体" w:hAnsi="宋体"/>
          <w:bCs/>
          <w:sz w:val="24"/>
          <w:szCs w:val="24"/>
          <w:highlight w:val="none"/>
          <w:lang w:val="zh-CN"/>
        </w:rPr>
        <w:t>如上述证明文件遇年检、换证，则必须提供法定年检、换证单位出具的有效证明复印件，原件一并提交。如上述“</w:t>
      </w:r>
      <w:bookmarkStart w:id="21" w:name="OLE_LINK118"/>
      <w:r>
        <w:rPr>
          <w:rFonts w:hint="eastAsia" w:ascii="宋体" w:hAnsi="宋体"/>
          <w:bCs/>
          <w:sz w:val="24"/>
          <w:szCs w:val="24"/>
          <w:highlight w:val="none"/>
          <w:lang w:val="zh-CN"/>
        </w:rPr>
        <w:t>（3）资格证明文件”第</w:t>
      </w:r>
      <w:r>
        <w:rPr>
          <w:rFonts w:hint="eastAsia" w:ascii="宋体" w:hAnsi="宋体"/>
          <w:bCs/>
          <w:sz w:val="24"/>
          <w:szCs w:val="24"/>
          <w:highlight w:val="none"/>
          <w:lang w:val="en-US" w:eastAsia="zh-CN"/>
        </w:rPr>
        <w:t>7.3.5</w:t>
      </w:r>
      <w:r>
        <w:rPr>
          <w:rFonts w:hint="eastAsia" w:ascii="Calibri" w:hAnsi="Calibri" w:cs="Calibri"/>
          <w:bCs/>
          <w:sz w:val="24"/>
          <w:szCs w:val="24"/>
          <w:highlight w:val="none"/>
        </w:rPr>
        <w:t>、</w:t>
      </w:r>
      <w:r>
        <w:rPr>
          <w:rFonts w:hint="eastAsia" w:ascii="宋体" w:hAnsi="宋体"/>
          <w:bCs/>
          <w:sz w:val="24"/>
          <w:szCs w:val="24"/>
          <w:highlight w:val="none"/>
          <w:lang w:val="en-US" w:eastAsia="zh-CN"/>
        </w:rPr>
        <w:t>7.3.6、</w:t>
      </w:r>
      <w:r>
        <w:rPr>
          <w:rFonts w:hint="eastAsia" w:ascii="宋体" w:hAnsi="宋体"/>
          <w:bCs/>
          <w:sz w:val="24"/>
          <w:szCs w:val="24"/>
          <w:lang w:val="en-US" w:eastAsia="zh-CN"/>
        </w:rPr>
        <w:t>7.3.7</w:t>
      </w:r>
      <w:r>
        <w:rPr>
          <w:rFonts w:hint="eastAsia" w:ascii="宋体" w:hAnsi="宋体"/>
          <w:bCs/>
          <w:sz w:val="24"/>
          <w:szCs w:val="24"/>
          <w:lang w:val="zh-CN"/>
        </w:rPr>
        <w:t>项，依法免税或</w:t>
      </w:r>
      <w:bookmarkStart w:id="22" w:name="OLE_LINK19"/>
      <w:r>
        <w:rPr>
          <w:rFonts w:hint="eastAsia" w:ascii="宋体" w:hAnsi="宋体"/>
          <w:bCs/>
          <w:sz w:val="24"/>
          <w:szCs w:val="24"/>
          <w:lang w:val="zh-CN"/>
        </w:rPr>
        <w:t>不需要缴纳社会保障资金</w:t>
      </w:r>
      <w:bookmarkEnd w:id="22"/>
      <w:r>
        <w:rPr>
          <w:rFonts w:hint="eastAsia" w:ascii="宋体" w:hAnsi="宋体"/>
          <w:bCs/>
          <w:sz w:val="24"/>
          <w:szCs w:val="24"/>
          <w:lang w:val="zh-CN"/>
        </w:rPr>
        <w:t>的投标人，须在投标文件中提供相应文件证明其依法免税或不需要缴纳社会保障资金。</w:t>
      </w:r>
      <w:bookmarkEnd w:id="21"/>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2"/>
    </w:p>
    <w:p w14:paraId="1DEE36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3" w:name="OLE_LINK219"/>
      <w:bookmarkStart w:id="24" w:name="OLE_LINK93"/>
      <w:r>
        <w:rPr>
          <w:rFonts w:hint="eastAsia" w:ascii="宋体" w:hAnsi="宋体"/>
          <w:b/>
          <w:sz w:val="24"/>
          <w:szCs w:val="24"/>
        </w:rPr>
        <w:t>8、</w:t>
      </w:r>
      <w:bookmarkStart w:id="25" w:name="_Toc2248"/>
      <w:bookmarkStart w:id="26" w:name="_Toc19624"/>
      <w:bookmarkStart w:id="27" w:name="_Toc520356155"/>
      <w:bookmarkStart w:id="28" w:name="_Toc515647770"/>
      <w:bookmarkStart w:id="29" w:name="_Toc23231"/>
      <w:r>
        <w:rPr>
          <w:rFonts w:hint="eastAsia" w:ascii="宋体" w:hAnsi="宋体"/>
          <w:b/>
          <w:sz w:val="24"/>
          <w:szCs w:val="24"/>
        </w:rPr>
        <w:t>投标报价</w:t>
      </w:r>
      <w:bookmarkEnd w:id="25"/>
      <w:bookmarkEnd w:id="26"/>
      <w:bookmarkEnd w:id="27"/>
      <w:bookmarkEnd w:id="28"/>
      <w:bookmarkEnd w:id="29"/>
    </w:p>
    <w:p w14:paraId="0B1B4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0" w:name="OLE_LINK204"/>
      <w:r>
        <w:rPr>
          <w:rFonts w:hint="eastAsia" w:ascii="宋体" w:hAnsi="宋体"/>
          <w:bCs/>
          <w:sz w:val="24"/>
          <w:szCs w:val="24"/>
          <w:lang w:val="zh-CN"/>
        </w:rPr>
        <w:t>。</w:t>
      </w:r>
      <w:bookmarkEnd w:id="30"/>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194AD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52572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3"/>
    </w:p>
    <w:bookmarkEnd w:id="24"/>
    <w:p w14:paraId="719F93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5898D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1" w:name="OLE_LINK203"/>
      <w:bookmarkEnd w:id="31"/>
      <w:r>
        <w:rPr>
          <w:rFonts w:hint="eastAsia" w:ascii="宋体" w:hAnsi="宋体"/>
          <w:bCs/>
          <w:sz w:val="24"/>
          <w:szCs w:val="24"/>
          <w:lang w:val="zh-CN"/>
        </w:rPr>
        <w:t>所有文件、往来函件均应使用简体中文（规格、型号辅助符号例外）。</w:t>
      </w:r>
    </w:p>
    <w:p w14:paraId="24E98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01523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7274A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bookmarkEnd w:id="32"/>
    </w:p>
    <w:p w14:paraId="55C9D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.5投标文件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462B5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59242003">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36" w:name="OLE_LINK123"/>
      <w:r>
        <w:rPr>
          <w:rFonts w:hint="eastAsia" w:ascii="宋体" w:hAnsi="宋体"/>
          <w:bCs/>
          <w:sz w:val="24"/>
          <w:szCs w:val="24"/>
          <w:lang w:val="zh-CN"/>
        </w:rPr>
        <w:t>投标人应该将投标文件密封，同时注明投标人名称。</w:t>
      </w:r>
      <w:bookmarkEnd w:id="36"/>
    </w:p>
    <w:p w14:paraId="32339E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37" w:name="OLE_LINK94"/>
      <w:r>
        <w:rPr>
          <w:rFonts w:hint="eastAsia" w:ascii="宋体" w:hAnsi="宋体"/>
          <w:b/>
          <w:sz w:val="24"/>
          <w:szCs w:val="24"/>
        </w:rPr>
        <w:t>10、投标文件的真实性</w:t>
      </w:r>
    </w:p>
    <w:p w14:paraId="10483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18E53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38" w:name="OLE_LINK45"/>
      <w:r>
        <w:rPr>
          <w:rFonts w:hint="eastAsia" w:ascii="宋体" w:hAnsi="宋体"/>
          <w:sz w:val="24"/>
          <w:szCs w:val="28"/>
        </w:rPr>
        <w:t>采购人、</w:t>
      </w:r>
      <w:bookmarkEnd w:id="38"/>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341336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39" w:name="OLE_LINK124"/>
      <w:r>
        <w:rPr>
          <w:rFonts w:hint="eastAsia" w:ascii="宋体" w:hAnsi="宋体"/>
          <w:b/>
          <w:sz w:val="24"/>
          <w:szCs w:val="24"/>
        </w:rPr>
        <w:t>11、投标文件的递交</w:t>
      </w:r>
    </w:p>
    <w:p w14:paraId="653C1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29DB8E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3C73A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16FF5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37"/>
    </w:p>
    <w:bookmarkEnd w:id="39"/>
    <w:p w14:paraId="227A7E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67328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0D3AEE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7EB04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0647C3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0" w:name="OLE_LINK125"/>
      <w:r>
        <w:rPr>
          <w:rFonts w:hint="eastAsia" w:ascii="宋体" w:hAnsi="宋体"/>
          <w:b/>
          <w:sz w:val="24"/>
          <w:szCs w:val="24"/>
        </w:rPr>
        <w:t>15、投标文件的</w:t>
      </w:r>
      <w:bookmarkStart w:id="41" w:name="OLE_LINK260"/>
      <w:bookmarkStart w:id="42" w:name="OLE_LINK273"/>
      <w:r>
        <w:rPr>
          <w:rFonts w:hint="eastAsia" w:ascii="宋体" w:hAnsi="宋体"/>
          <w:b/>
          <w:sz w:val="24"/>
          <w:szCs w:val="24"/>
        </w:rPr>
        <w:t>补充、修改或者撤回</w:t>
      </w:r>
      <w:bookmarkEnd w:id="41"/>
    </w:p>
    <w:p w14:paraId="6FEAB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43"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44" w:name="OLE_LINK294"/>
      <w:r>
        <w:rPr>
          <w:rFonts w:hint="eastAsia" w:ascii="宋体" w:hAnsi="宋体"/>
          <w:bCs/>
          <w:sz w:val="24"/>
          <w:szCs w:val="24"/>
          <w:lang w:val="zh-CN"/>
        </w:rPr>
        <w:t>采购人或者</w:t>
      </w:r>
      <w:bookmarkEnd w:id="44"/>
      <w:r>
        <w:rPr>
          <w:rFonts w:hint="eastAsia" w:ascii="宋体" w:hAnsi="宋体"/>
          <w:bCs/>
          <w:sz w:val="24"/>
          <w:szCs w:val="24"/>
          <w:lang w:val="zh-CN"/>
        </w:rPr>
        <w:t>采购机构。补充、修改的内容应当按照招标文件要求签署、盖章、密封后，并作为投标文件的组成部分。</w:t>
      </w:r>
      <w:bookmarkEnd w:id="40"/>
    </w:p>
    <w:p w14:paraId="2FAF3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2"/>
      <w:bookmarkEnd w:id="43"/>
      <w:r>
        <w:rPr>
          <w:rFonts w:hint="eastAsia" w:ascii="宋体" w:hAnsi="宋体"/>
          <w:bCs/>
          <w:sz w:val="24"/>
          <w:szCs w:val="24"/>
        </w:rPr>
        <w:t>在投标截止时间之后，采购人、采购机构、评标委员会不接受投标人主动对其投标文件做任何补充、修改。</w:t>
      </w:r>
    </w:p>
    <w:p w14:paraId="07CC00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1DD9A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42984148">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45" w:name="OLE_LINK126"/>
      <w:r>
        <w:rPr>
          <w:rFonts w:hint="eastAsia" w:ascii="宋体" w:hAnsi="宋体" w:cs="宋体"/>
          <w:sz w:val="24"/>
          <w:szCs w:val="24"/>
        </w:rPr>
        <w:t>未按照招标文件的规定提交投标保证金的或未按要求换取往来款单据的；</w:t>
      </w:r>
    </w:p>
    <w:p w14:paraId="52819CD9">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07DA0C32">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95CA5EB">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1C188DA4">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46" w:name="OLE_LINK274"/>
      <w:r>
        <w:rPr>
          <w:rFonts w:hint="eastAsia" w:ascii="宋体" w:hAnsi="宋体" w:cs="宋体"/>
          <w:sz w:val="24"/>
          <w:szCs w:val="24"/>
        </w:rPr>
        <w:t>分项、分包</w:t>
      </w:r>
      <w:bookmarkEnd w:id="46"/>
      <w:r>
        <w:rPr>
          <w:rFonts w:hint="eastAsia" w:ascii="宋体" w:hAnsi="宋体" w:cs="宋体"/>
          <w:sz w:val="24"/>
          <w:szCs w:val="24"/>
        </w:rPr>
        <w:t>最高限价的</w:t>
      </w:r>
      <w:r>
        <w:rPr>
          <w:rFonts w:hint="eastAsia" w:ascii="宋体" w:hAnsi="宋体"/>
          <w:bCs/>
          <w:sz w:val="24"/>
          <w:szCs w:val="24"/>
          <w:lang w:val="zh-CN"/>
        </w:rPr>
        <w:t>；</w:t>
      </w:r>
    </w:p>
    <w:p w14:paraId="40F3BFFC">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D87A2E7">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0EBEA7C9">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1C53BB24">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9F714F4">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505F2CB8">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F9519E7">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4901DF5D">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04ECC96">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D439919">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E481689">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3B01EC57">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提供虚假材料</w:t>
      </w:r>
      <w:bookmarkStart w:id="47" w:name="OLE_LINK137"/>
      <w:r>
        <w:rPr>
          <w:rFonts w:hint="eastAsia" w:ascii="宋体" w:hAnsi="宋体" w:cs="宋体"/>
          <w:sz w:val="24"/>
          <w:szCs w:val="24"/>
          <w:lang w:val="zh-CN"/>
        </w:rPr>
        <w:t>（含虚假承诺）</w:t>
      </w:r>
      <w:bookmarkEnd w:id="47"/>
      <w:r>
        <w:rPr>
          <w:rFonts w:hint="eastAsia" w:ascii="宋体" w:hAnsi="宋体"/>
          <w:bCs/>
          <w:sz w:val="24"/>
          <w:szCs w:val="24"/>
          <w:lang w:val="zh-CN"/>
        </w:rPr>
        <w:t>的；</w:t>
      </w:r>
    </w:p>
    <w:p w14:paraId="7116A0D6">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030EA9F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400" w:leftChars="0"/>
        <w:textAlignment w:val="auto"/>
        <w:rPr>
          <w:rFonts w:hint="eastAsia" w:ascii="宋体" w:hAnsi="宋体"/>
          <w:bCs/>
          <w:sz w:val="24"/>
          <w:szCs w:val="24"/>
          <w:lang w:val="zh-CN"/>
        </w:rPr>
      </w:pPr>
      <w:r>
        <w:rPr>
          <w:rFonts w:hint="eastAsia" w:ascii="宋体" w:hAnsi="宋体"/>
          <w:bCs/>
          <w:sz w:val="24"/>
          <w:szCs w:val="24"/>
          <w:lang w:val="zh-CN"/>
        </w:rPr>
        <w:t>评标委员会启动异常低价投标(响应)审查的情形和具体要求，包括:</w:t>
      </w:r>
    </w:p>
    <w:p w14:paraId="495F395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23B3A53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6DF9E06D">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6A4F7BF6">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5"/>
    </w:p>
    <w:p w14:paraId="57066F4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1EE74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6B18B07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E4418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63DE6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48" w:name="OLE_LINK276"/>
      <w:r>
        <w:rPr>
          <w:rFonts w:hint="eastAsia" w:ascii="宋体" w:hAnsi="宋体"/>
          <w:bCs/>
          <w:sz w:val="24"/>
          <w:szCs w:val="24"/>
          <w:lang w:val="zh-CN"/>
        </w:rPr>
        <w:t>招标人按招标文件规定的时间在宜兴市公用环保集团有限公司召开开标大会，开标时由投标人自行检查其投标文件的密封情况，经确认无误后，招标人或招标代理机构当众拆封，宣布投标人名称、投标价格（开标一览表中合计金额（大写金额））和招标文件规定的需要宣布的其他内容。</w:t>
      </w:r>
    </w:p>
    <w:bookmarkEnd w:id="48"/>
    <w:p w14:paraId="70DCB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开标过程由招标人或者招标代理机构负责记录，由参加开标的各投标人代表和相关工作人员签字确认后随采购文件一并存档。投标人未参加开标的，视同认可开标结果。</w:t>
      </w:r>
    </w:p>
    <w:p w14:paraId="49664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w:t>
      </w:r>
      <w:bookmarkStart w:id="49" w:name="OLE_LINK131"/>
      <w:bookmarkStart w:id="50" w:name="OLE_LINK179"/>
      <w:r>
        <w:rPr>
          <w:rFonts w:hint="eastAsia" w:ascii="宋体" w:hAnsi="宋体"/>
          <w:bCs/>
          <w:sz w:val="24"/>
          <w:szCs w:val="24"/>
          <w:lang w:val="zh-CN"/>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szCs w:val="24"/>
          <w:lang w:val="zh-CN"/>
        </w:rPr>
        <w:t>对投标文件报价前后不一致的修正，待进入评标环节以后，由评标委员会做出认定</w:t>
      </w:r>
      <w:bookmarkEnd w:id="51"/>
      <w:r>
        <w:rPr>
          <w:rFonts w:hint="eastAsia" w:ascii="宋体" w:hAnsi="宋体"/>
          <w:bCs/>
          <w:sz w:val="24"/>
          <w:szCs w:val="24"/>
          <w:lang w:val="zh-CN"/>
        </w:rPr>
        <w:t>；若未进入评审环节，不需要做出认定</w:t>
      </w:r>
      <w:bookmarkEnd w:id="50"/>
      <w:r>
        <w:rPr>
          <w:rFonts w:hint="eastAsia" w:ascii="宋体" w:hAnsi="宋体"/>
          <w:bCs/>
          <w:sz w:val="24"/>
          <w:szCs w:val="24"/>
          <w:lang w:val="zh-CN"/>
        </w:rPr>
        <w:t>。</w:t>
      </w:r>
    </w:p>
    <w:p w14:paraId="69A7E5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34D35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14C8EE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01ACE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52" w:name="OLE_LINK257"/>
      <w:bookmarkStart w:id="53" w:name="OLE_LINK261"/>
      <w:r>
        <w:rPr>
          <w:rFonts w:hint="eastAsia" w:ascii="宋体" w:hAnsi="宋体" w:cs="宋体"/>
          <w:sz w:val="24"/>
          <w:szCs w:val="24"/>
        </w:rPr>
        <w:t xml:space="preserve">19.2.1 </w:t>
      </w:r>
      <w:bookmarkEnd w:id="52"/>
      <w:r>
        <w:rPr>
          <w:rFonts w:hint="eastAsia" w:ascii="宋体" w:hAnsi="宋体" w:cs="宋体"/>
          <w:sz w:val="24"/>
          <w:szCs w:val="24"/>
        </w:rPr>
        <w:t>按照本须知“7.1 投标人投标文件的组成”中“（3）资格证明文件”的要求依法对投标人的资格进行审查。</w:t>
      </w:r>
    </w:p>
    <w:p w14:paraId="3E8AC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70B41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3273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sz w:val="24"/>
          <w:szCs w:val="24"/>
        </w:rPr>
        <w:t xml:space="preserve">② </w:t>
      </w:r>
      <w:r>
        <w:rPr>
          <w:rFonts w:hint="eastAsia" w:ascii="宋体" w:hAnsi="宋体" w:cs="宋体"/>
          <w:color w:val="auto"/>
          <w:sz w:val="24"/>
          <w:szCs w:val="24"/>
          <w:highlight w:val="none"/>
        </w:rPr>
        <w:t>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w:t>
      </w:r>
      <w:r>
        <w:rPr>
          <w:rFonts w:hint="eastAsia" w:ascii="宋体" w:hAnsi="宋体" w:cs="宋体"/>
          <w:color w:val="auto"/>
          <w:sz w:val="24"/>
          <w:szCs w:val="24"/>
          <w:highlight w:val="none"/>
          <w:lang w:eastAsia="zh-CN"/>
        </w:rPr>
        <w:t>重大税收违法失信主体名单</w:t>
      </w:r>
      <w:r>
        <w:rPr>
          <w:rFonts w:hint="eastAsia" w:ascii="宋体" w:hAnsi="宋体" w:cs="宋体"/>
          <w:color w:val="auto"/>
          <w:sz w:val="24"/>
          <w:szCs w:val="24"/>
          <w:highlight w:val="none"/>
        </w:rPr>
        <w:t>、</w:t>
      </w:r>
      <w:r>
        <w:rPr>
          <w:rFonts w:hint="eastAsia" w:ascii="宋体" w:hAnsi="宋体" w:eastAsia="宋体" w:cs="Times New Roman"/>
          <w:bCs/>
          <w:color w:val="auto"/>
          <w:sz w:val="24"/>
          <w:szCs w:val="24"/>
          <w:highlight w:val="none"/>
          <w:lang w:val="zh-CN"/>
        </w:rPr>
        <w:t>严重失信主体名单</w:t>
      </w:r>
      <w:r>
        <w:rPr>
          <w:rFonts w:hint="eastAsia" w:ascii="宋体" w:hAnsi="宋体" w:cs="宋体"/>
          <w:color w:val="auto"/>
          <w:sz w:val="24"/>
          <w:szCs w:val="24"/>
          <w:highlight w:val="none"/>
        </w:rPr>
        <w:t>，或在“中国政府采购网”网站（www.ccgp.gov.cn）被列入政府采购严重违法失信行为记录名单。</w:t>
      </w:r>
    </w:p>
    <w:p w14:paraId="1AA23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53"/>
    </w:p>
    <w:p w14:paraId="39DAE7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14AE5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32C21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 xml:space="preserve">20.2 </w:t>
      </w:r>
      <w:bookmarkStart w:id="54" w:name="OLE_LINK157"/>
      <w:r>
        <w:rPr>
          <w:rFonts w:hint="eastAsia" w:ascii="宋体" w:hAnsi="宋体"/>
          <w:b w:val="0"/>
          <w:bCs/>
          <w:sz w:val="24"/>
          <w:szCs w:val="24"/>
        </w:rPr>
        <w:t>开标时，招标人现场对投标人投标截止时间之前的信用情况进行查询并按照本须知“投标文件的组成”中“资格证明文件”的要求依法对投标人的资格进行审查。</w:t>
      </w:r>
      <w:bookmarkEnd w:id="54"/>
      <w:r>
        <w:rPr>
          <w:rFonts w:hint="eastAsia" w:ascii="宋体" w:hAnsi="宋体"/>
          <w:b w:val="0"/>
          <w:bCs/>
          <w:sz w:val="24"/>
          <w:szCs w:val="24"/>
        </w:rPr>
        <w:t>评标委员会对符合资格的投标人的投标文件进行符合性审查，以确定其是否满足招标文件的实质性要求。</w:t>
      </w:r>
    </w:p>
    <w:p w14:paraId="5C9EF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55" w:name="OLE_LINK132"/>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57"/>
    </w:p>
    <w:p w14:paraId="2C6D68D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22DBFD63">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hint="eastAsia" w:ascii="宋体" w:hAnsi="宋体"/>
          <w:bCs/>
          <w:sz w:val="24"/>
        </w:rPr>
      </w:pPr>
      <w:r>
        <w:rPr>
          <w:rFonts w:hint="eastAsia" w:ascii="宋体" w:hAnsi="宋体"/>
          <w:bCs/>
          <w:sz w:val="24"/>
        </w:rPr>
        <w:t>20.5</w:t>
      </w:r>
      <w:bookmarkStart w:id="58" w:name="OLE_LINK133"/>
      <w:r>
        <w:rPr>
          <w:rFonts w:hint="eastAsia" w:ascii="宋体" w:hAnsi="宋体"/>
          <w:b/>
          <w:sz w:val="24"/>
        </w:rPr>
        <w:t>评标方法和标准</w:t>
      </w:r>
      <w:r>
        <w:rPr>
          <w:rFonts w:hint="eastAsia" w:ascii="宋体" w:hAnsi="宋体"/>
          <w:bCs/>
          <w:sz w:val="24"/>
        </w:rPr>
        <w:t>。</w:t>
      </w:r>
      <w:bookmarkEnd w:id="58"/>
    </w:p>
    <w:p w14:paraId="2114A91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本次招标采用最低评标价法。</w:t>
      </w:r>
    </w:p>
    <w:p w14:paraId="12BFB963">
      <w:pPr>
        <w:keepNext w:val="0"/>
        <w:keepLines w:val="0"/>
        <w:pageBreakBefore w:val="0"/>
        <w:widowControl w:val="0"/>
        <w:numPr>
          <w:ilvl w:val="0"/>
          <w:numId w:val="1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A9699F0">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2C5D1E88">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1D7023D6">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①</w:t>
      </w:r>
      <w:r>
        <w:rPr>
          <w:rFonts w:hint="eastAsia" w:ascii="宋体" w:hAnsi="宋体"/>
          <w:bCs/>
          <w:sz w:val="24"/>
        </w:rPr>
        <w:t>投标文件中开标一览表内容与投标文件中相应内容不一致的，以开标一览表为准；</w:t>
      </w:r>
    </w:p>
    <w:p w14:paraId="1748C39A">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②</w:t>
      </w:r>
      <w:r>
        <w:rPr>
          <w:rFonts w:hint="eastAsia" w:ascii="宋体" w:hAnsi="宋体"/>
          <w:bCs/>
          <w:sz w:val="24"/>
        </w:rPr>
        <w:t>大写金额和小写金额不一致的，以大写金额为准；</w:t>
      </w:r>
    </w:p>
    <w:p w14:paraId="52ACF0CA">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③</w:t>
      </w:r>
      <w:r>
        <w:rPr>
          <w:rFonts w:hint="eastAsia" w:ascii="宋体" w:hAnsi="宋体"/>
          <w:bCs/>
          <w:sz w:val="24"/>
        </w:rPr>
        <w:t>单价金额小数点或者百分比有明显错位的，以开标一览表的总价为准，并修改单价；</w:t>
      </w:r>
    </w:p>
    <w:p w14:paraId="127659BD">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④</w:t>
      </w:r>
      <w:r>
        <w:rPr>
          <w:rFonts w:hint="eastAsia" w:ascii="宋体" w:hAnsi="宋体"/>
          <w:bCs/>
          <w:sz w:val="24"/>
        </w:rPr>
        <w:t>总价金额与按单价汇总金额不一致的，以单价金额计算结果为准。</w:t>
      </w:r>
    </w:p>
    <w:p w14:paraId="33637FDB">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p w14:paraId="517B0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656EF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73C1AC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78ED4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w:t>
      </w:r>
      <w:r>
        <w:rPr>
          <w:rFonts w:hint="eastAsia" w:ascii="宋体" w:hAnsi="宋体"/>
          <w:bCs/>
          <w:sz w:val="24"/>
        </w:rPr>
        <w:t>采购人根据评审报告推荐的中标候选人中确定中标供应商。</w:t>
      </w:r>
    </w:p>
    <w:p w14:paraId="40BB1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A3C43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0BAD30D8">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bCs/>
          <w:sz w:val="24"/>
        </w:rPr>
      </w:pPr>
      <w:r>
        <w:rPr>
          <w:rFonts w:hAnsi="宋体"/>
          <w:bCs/>
          <w:sz w:val="24"/>
        </w:rPr>
        <w:t>招标文件存在不合理条款或者招标程序不符合规定的，采购人、采购代理机构改正后依法重新招标；</w:t>
      </w:r>
    </w:p>
    <w:p w14:paraId="5CFE342F">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bCs/>
          <w:sz w:val="24"/>
          <w:lang w:val="zh-CN"/>
        </w:rPr>
      </w:pPr>
      <w:r>
        <w:rPr>
          <w:rFonts w:hAnsi="宋体"/>
          <w:bCs/>
          <w:sz w:val="24"/>
        </w:rPr>
        <w:t>招标文件没有不合理条款、招标程序符合规定，由采购人决定是否需要采用其他采购方式采购的。</w:t>
      </w:r>
    </w:p>
    <w:p w14:paraId="7F154D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3FD3F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2D0F1D40">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5B229678">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出现影响采购公正的违法、违规行为；</w:t>
      </w:r>
    </w:p>
    <w:p w14:paraId="08B11887">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051CB247">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24.1 </w:t>
      </w:r>
      <w:r>
        <w:rPr>
          <w:rFonts w:hint="eastAsia" w:ascii="宋体" w:hAnsi="宋体"/>
          <w:bCs/>
          <w:sz w:val="24"/>
          <w:szCs w:val="24"/>
          <w:highlight w:val="none"/>
          <w:lang w:val="zh-CN"/>
        </w:rPr>
        <w:t>投标保证金应按照投标邀请规定的数额和办法交纳。</w:t>
      </w:r>
    </w:p>
    <w:p w14:paraId="33ED74A1">
      <w:pPr>
        <w:spacing w:line="360" w:lineRule="auto"/>
        <w:ind w:firstLine="480" w:firstLineChars="200"/>
        <w:rPr>
          <w:highlight w:val="none"/>
          <w:lang w:val="zh-CN"/>
        </w:rPr>
      </w:pPr>
      <w:r>
        <w:rPr>
          <w:rFonts w:hint="eastAsia" w:ascii="宋体" w:hAnsi="宋体"/>
          <w:bCs/>
          <w:sz w:val="24"/>
          <w:highlight w:val="none"/>
        </w:rPr>
        <w:t>2</w:t>
      </w:r>
      <w:r>
        <w:rPr>
          <w:rFonts w:hint="eastAsia" w:ascii="宋体" w:hAnsi="宋体"/>
          <w:bCs/>
          <w:sz w:val="24"/>
          <w:highlight w:val="none"/>
          <w:lang w:val="en-US" w:eastAsia="zh-CN"/>
        </w:rPr>
        <w:t>4</w:t>
      </w:r>
      <w:r>
        <w:rPr>
          <w:rFonts w:hint="eastAsia" w:ascii="宋体" w:hAnsi="宋体"/>
          <w:bCs/>
          <w:sz w:val="24"/>
          <w:highlight w:val="none"/>
        </w:rPr>
        <w:t xml:space="preserve">.2 </w:t>
      </w:r>
      <w:r>
        <w:rPr>
          <w:rFonts w:hint="eastAsia" w:ascii="宋体" w:hAnsi="宋体"/>
          <w:bCs/>
          <w:sz w:val="24"/>
          <w:highlight w:val="none"/>
          <w:lang w:val="zh-CN"/>
        </w:rPr>
        <w:t>投标人交纳的保证金无法顺利入账的，视同该投标人交纳的投标保证金无效，责任由投标人自负。</w:t>
      </w:r>
    </w:p>
    <w:p w14:paraId="492F736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w:t>
      </w:r>
      <w:r>
        <w:rPr>
          <w:rFonts w:hint="eastAsia" w:ascii="宋体" w:hAnsi="宋体"/>
          <w:bCs/>
          <w:sz w:val="24"/>
          <w:szCs w:val="24"/>
          <w:highlight w:val="none"/>
          <w:lang w:val="en-US" w:eastAsia="zh-CN"/>
        </w:rPr>
        <w:t>3</w:t>
      </w:r>
      <w:r>
        <w:rPr>
          <w:rFonts w:hint="eastAsia" w:ascii="宋体" w:hAnsi="宋体"/>
          <w:bCs/>
          <w:sz w:val="24"/>
          <w:szCs w:val="24"/>
          <w:highlight w:val="none"/>
        </w:rPr>
        <w:t xml:space="preserve"> 招标活动结束后，中标</w:t>
      </w:r>
      <w:r>
        <w:rPr>
          <w:rFonts w:hint="eastAsia" w:ascii="宋体" w:hAnsi="宋体"/>
          <w:sz w:val="24"/>
          <w:szCs w:val="28"/>
          <w:highlight w:val="none"/>
        </w:rPr>
        <w:t>单位</w:t>
      </w:r>
      <w:r>
        <w:rPr>
          <w:rFonts w:hint="eastAsia" w:ascii="宋体" w:hAnsi="宋体"/>
          <w:bCs/>
          <w:sz w:val="24"/>
          <w:szCs w:val="24"/>
          <w:highlight w:val="none"/>
        </w:rPr>
        <w:t>的投标保证金在合同签订后的</w:t>
      </w:r>
      <w:r>
        <w:rPr>
          <w:rFonts w:hint="eastAsia" w:ascii="宋体" w:hAnsi="宋体"/>
          <w:bCs/>
          <w:sz w:val="24"/>
          <w:szCs w:val="24"/>
          <w:highlight w:val="none"/>
          <w:lang w:val="en-US" w:eastAsia="zh-CN"/>
        </w:rPr>
        <w:t>5</w:t>
      </w:r>
      <w:r>
        <w:rPr>
          <w:rFonts w:hint="eastAsia" w:ascii="宋体" w:hAnsi="宋体"/>
          <w:bCs/>
          <w:sz w:val="24"/>
          <w:szCs w:val="24"/>
          <w:highlight w:val="none"/>
        </w:rPr>
        <w:t>个工作日内无息退还；中标通知书发出后</w:t>
      </w:r>
      <w:r>
        <w:rPr>
          <w:rFonts w:hint="eastAsia" w:ascii="宋体" w:hAnsi="宋体"/>
          <w:bCs/>
          <w:sz w:val="24"/>
          <w:szCs w:val="24"/>
          <w:highlight w:val="none"/>
          <w:lang w:val="en-US" w:eastAsia="zh-CN"/>
        </w:rPr>
        <w:t>5</w:t>
      </w:r>
      <w:r>
        <w:rPr>
          <w:rFonts w:hint="eastAsia" w:ascii="宋体" w:hAnsi="宋体"/>
          <w:bCs/>
          <w:sz w:val="24"/>
          <w:szCs w:val="24"/>
          <w:highlight w:val="none"/>
        </w:rPr>
        <w:t>个工作日内退还未中标</w:t>
      </w:r>
      <w:r>
        <w:rPr>
          <w:rFonts w:hint="eastAsia" w:ascii="宋体" w:hAnsi="宋体"/>
          <w:sz w:val="24"/>
          <w:szCs w:val="28"/>
          <w:highlight w:val="none"/>
        </w:rPr>
        <w:t>单位</w:t>
      </w:r>
      <w:r>
        <w:rPr>
          <w:rFonts w:hint="eastAsia" w:ascii="宋体" w:hAnsi="宋体"/>
          <w:bCs/>
          <w:sz w:val="24"/>
          <w:szCs w:val="24"/>
          <w:highlight w:val="none"/>
        </w:rPr>
        <w:t>的投标保证金，不计利息。</w:t>
      </w:r>
    </w:p>
    <w:p w14:paraId="724D4FD3">
      <w:pPr>
        <w:spacing w:line="360" w:lineRule="auto"/>
        <w:ind w:firstLine="480" w:firstLineChars="200"/>
        <w:rPr>
          <w:rFonts w:ascii="宋体" w:hAnsi="宋体"/>
          <w:b/>
          <w:sz w:val="24"/>
          <w:szCs w:val="24"/>
          <w:highlight w:val="none"/>
          <w:lang w:val="zh-CN"/>
        </w:rPr>
      </w:pPr>
      <w:r>
        <w:rPr>
          <w:rFonts w:hint="eastAsia" w:ascii="宋体" w:hAnsi="宋体"/>
          <w:bCs/>
          <w:sz w:val="24"/>
          <w:szCs w:val="24"/>
          <w:highlight w:val="none"/>
          <w:lang w:val="zh-CN"/>
        </w:rPr>
        <w:t>退还投标保证金的手续，由投标人自行与宜兴市公用</w:t>
      </w:r>
      <w:r>
        <w:rPr>
          <w:rFonts w:hint="eastAsia" w:ascii="宋体" w:hAnsi="宋体"/>
          <w:bCs/>
          <w:sz w:val="24"/>
          <w:szCs w:val="24"/>
          <w:highlight w:val="none"/>
        </w:rPr>
        <w:t>环保集团</w:t>
      </w:r>
      <w:r>
        <w:rPr>
          <w:rFonts w:hint="eastAsia" w:ascii="宋体" w:hAnsi="宋体"/>
          <w:bCs/>
          <w:sz w:val="24"/>
          <w:szCs w:val="24"/>
          <w:highlight w:val="none"/>
          <w:lang w:val="zh-CN"/>
        </w:rPr>
        <w:t>有限公司联系办理退还事宜。</w:t>
      </w:r>
    </w:p>
    <w:p w14:paraId="1ECFAE99">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w:t>
      </w:r>
      <w:r>
        <w:rPr>
          <w:rFonts w:hint="eastAsia" w:ascii="宋体" w:hAnsi="宋体"/>
          <w:bCs/>
          <w:sz w:val="24"/>
          <w:szCs w:val="24"/>
          <w:highlight w:val="none"/>
          <w:lang w:val="en-US" w:eastAsia="zh-CN"/>
        </w:rPr>
        <w:t>4</w:t>
      </w:r>
      <w:r>
        <w:rPr>
          <w:rFonts w:hint="eastAsia" w:ascii="宋体" w:hAnsi="宋体"/>
          <w:bCs/>
          <w:sz w:val="24"/>
          <w:szCs w:val="24"/>
          <w:highlight w:val="none"/>
          <w:lang w:val="zh-CN"/>
        </w:rPr>
        <w:t>投标人有下列情形之一的，其交纳的投标保证金不予退还：</w:t>
      </w:r>
    </w:p>
    <w:p w14:paraId="65495F98">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在提交投标文件截止时间后撤回投标文件的；</w:t>
      </w:r>
    </w:p>
    <w:p w14:paraId="5C0C9187">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在投标文件中提供虚假材料的；</w:t>
      </w:r>
    </w:p>
    <w:p w14:paraId="7E05EF8B">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除因不可抗力或招标文件认可的情形以外，中标</w:t>
      </w:r>
      <w:r>
        <w:rPr>
          <w:rFonts w:hint="eastAsia" w:ascii="宋体" w:hAnsi="宋体"/>
          <w:sz w:val="24"/>
          <w:szCs w:val="28"/>
          <w:highlight w:val="none"/>
        </w:rPr>
        <w:t>单位</w:t>
      </w:r>
      <w:r>
        <w:rPr>
          <w:rFonts w:hint="eastAsia" w:ascii="宋体" w:hAnsi="宋体"/>
          <w:bCs/>
          <w:sz w:val="24"/>
          <w:szCs w:val="24"/>
          <w:highlight w:val="none"/>
          <w:lang w:val="zh-CN"/>
        </w:rPr>
        <w:t>不与采购人签订合同的；</w:t>
      </w:r>
    </w:p>
    <w:p w14:paraId="6E3B3430">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与采购人、其他投标人或者采购代理机构恶意串通的；</w:t>
      </w:r>
    </w:p>
    <w:p w14:paraId="58C04E44">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招标文件规定的其他情形。</w:t>
      </w:r>
    </w:p>
    <w:p w14:paraId="3439369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37AC8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5A60C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w:t>
      </w:r>
      <w:r>
        <w:rPr>
          <w:rFonts w:hint="eastAsia" w:ascii="宋体" w:hAnsi="宋体"/>
          <w:bCs/>
          <w:sz w:val="24"/>
          <w:szCs w:val="24"/>
          <w:highlight w:val="none"/>
          <w:lang w:val="zh-CN"/>
        </w:rPr>
        <w:t>自行承担。</w:t>
      </w:r>
    </w:p>
    <w:p w14:paraId="156CF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rPr>
        <w:t xml:space="preserve">25.2 </w:t>
      </w:r>
      <w:r>
        <w:rPr>
          <w:rFonts w:hint="eastAsia" w:ascii="宋体" w:hAnsi="宋体"/>
          <w:bCs/>
          <w:sz w:val="24"/>
          <w:szCs w:val="24"/>
          <w:highlight w:val="none"/>
          <w:lang w:val="en-US" w:eastAsia="zh-CN"/>
        </w:rPr>
        <w:t>中标单位</w:t>
      </w:r>
      <w:r>
        <w:rPr>
          <w:rFonts w:hint="eastAsia" w:ascii="宋体" w:hAnsi="宋体"/>
          <w:bCs/>
          <w:sz w:val="24"/>
          <w:szCs w:val="24"/>
          <w:highlight w:val="none"/>
          <w:lang w:val="zh-CN"/>
        </w:rPr>
        <w:t>应于中标公告发布之日起7日内，办理签订合同前的相关手续;并于中标通知书发出之日起30日内，按照招标文件确定的事项与采购人</w:t>
      </w:r>
      <w:r>
        <w:rPr>
          <w:rFonts w:hint="eastAsia" w:ascii="宋体" w:hAnsi="宋体"/>
          <w:bCs/>
          <w:sz w:val="24"/>
          <w:szCs w:val="24"/>
          <w:highlight w:val="none"/>
          <w:lang w:val="en-US" w:eastAsia="zh-CN"/>
        </w:rPr>
        <w:t>签订合同</w:t>
      </w:r>
      <w:r>
        <w:rPr>
          <w:rFonts w:hint="eastAsia" w:ascii="宋体" w:hAnsi="宋体"/>
          <w:bCs/>
          <w:sz w:val="24"/>
          <w:szCs w:val="24"/>
          <w:highlight w:val="none"/>
          <w:lang w:val="zh-CN"/>
        </w:rPr>
        <w:t>。</w:t>
      </w:r>
    </w:p>
    <w:p w14:paraId="4BDB1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highlight w:val="none"/>
          <w:lang w:val="en-US" w:eastAsia="zh-CN"/>
        </w:rPr>
        <w:t>中标单位</w:t>
      </w:r>
      <w:r>
        <w:rPr>
          <w:rFonts w:hint="eastAsia" w:ascii="宋体" w:hAnsi="宋体"/>
          <w:bCs/>
          <w:sz w:val="24"/>
          <w:szCs w:val="24"/>
          <w:highlight w:val="none"/>
          <w:lang w:val="zh-CN"/>
        </w:rPr>
        <w:t>如逾期不办理相关手续、</w:t>
      </w:r>
      <w:r>
        <w:rPr>
          <w:rFonts w:hint="eastAsia" w:ascii="宋体" w:hAnsi="宋体"/>
          <w:bCs/>
          <w:sz w:val="24"/>
          <w:szCs w:val="24"/>
          <w:lang w:val="zh-CN"/>
        </w:rPr>
        <w:t>签订协议，采购人将依据有关规定进行处理。</w:t>
      </w:r>
    </w:p>
    <w:p w14:paraId="77A13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64559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73D5F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0"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Cs/>
          <w:sz w:val="24"/>
          <w:szCs w:val="24"/>
          <w:highlight w:val="none"/>
          <w:lang w:val="en-US" w:eastAsia="zh-CN"/>
        </w:rPr>
        <w:t>中标金额</w:t>
      </w:r>
      <w:r>
        <w:rPr>
          <w:rFonts w:hint="eastAsia" w:ascii="宋体" w:hAnsi="宋体"/>
          <w:b/>
          <w:bCs w:val="0"/>
          <w:sz w:val="24"/>
          <w:szCs w:val="24"/>
          <w:highlight w:val="none"/>
          <w:u w:val="single"/>
          <w:lang w:val="en-US" w:eastAsia="zh-CN"/>
        </w:rPr>
        <w:t>10%</w:t>
      </w:r>
      <w:r>
        <w:rPr>
          <w:rFonts w:hint="eastAsia" w:ascii="宋体" w:hAnsi="宋体"/>
          <w:bCs/>
          <w:sz w:val="24"/>
          <w:szCs w:val="24"/>
          <w:highlight w:val="none"/>
          <w:lang w:val="en-US" w:eastAsia="zh-CN"/>
        </w:rPr>
        <w:t>的</w:t>
      </w:r>
      <w:r>
        <w:rPr>
          <w:rFonts w:hint="eastAsia" w:ascii="宋体" w:hAnsi="宋体"/>
          <w:bCs/>
          <w:sz w:val="24"/>
          <w:szCs w:val="24"/>
          <w:highlight w:val="none"/>
          <w:lang w:val="zh-CN"/>
        </w:rPr>
        <w:t>履约保证金。</w:t>
      </w:r>
    </w:p>
    <w:tbl>
      <w:tblPr>
        <w:tblStyle w:val="7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382"/>
        <w:gridCol w:w="765"/>
        <w:gridCol w:w="3028"/>
      </w:tblGrid>
      <w:tr w14:paraId="689E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867" w:type="dxa"/>
            <w:noWrap/>
            <w:vAlign w:val="center"/>
          </w:tcPr>
          <w:p w14:paraId="0338C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r>
              <w:rPr>
                <w:rFonts w:hint="eastAsia"/>
                <w:sz w:val="21"/>
                <w:szCs w:val="21"/>
              </w:rPr>
              <w:t>交纳履约保证金账户名称</w:t>
            </w:r>
          </w:p>
        </w:tc>
        <w:tc>
          <w:tcPr>
            <w:tcW w:w="3382" w:type="dxa"/>
            <w:noWrap/>
            <w:vAlign w:val="center"/>
          </w:tcPr>
          <w:p w14:paraId="7F569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r>
              <w:rPr>
                <w:rFonts w:hint="eastAsia" w:hAnsi="宋体"/>
                <w:bCs/>
                <w:sz w:val="21"/>
                <w:szCs w:val="21"/>
                <w:lang w:val="zh-CN" w:eastAsia="zh-CN"/>
              </w:rPr>
              <w:t>宜兴市公用环保集团有限公司</w:t>
            </w:r>
          </w:p>
        </w:tc>
        <w:tc>
          <w:tcPr>
            <w:tcW w:w="765" w:type="dxa"/>
            <w:vMerge w:val="restart"/>
            <w:noWrap/>
            <w:vAlign w:val="center"/>
          </w:tcPr>
          <w:p w14:paraId="1BD5C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Cs/>
                <w:sz w:val="21"/>
                <w:szCs w:val="21"/>
                <w:lang w:val="zh-CN"/>
              </w:rPr>
            </w:pPr>
            <w:r>
              <w:rPr>
                <w:rFonts w:hint="eastAsia" w:ascii="宋体" w:hAnsi="宋体"/>
                <w:bCs/>
                <w:sz w:val="21"/>
                <w:szCs w:val="21"/>
                <w:lang w:val="zh-CN"/>
              </w:rPr>
              <w:t>交纳</w:t>
            </w:r>
          </w:p>
          <w:p w14:paraId="45454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r>
              <w:rPr>
                <w:rFonts w:hint="eastAsia" w:ascii="宋体" w:hAnsi="宋体"/>
                <w:bCs/>
                <w:sz w:val="21"/>
                <w:szCs w:val="21"/>
                <w:lang w:val="zh-CN"/>
              </w:rPr>
              <w:t>形式</w:t>
            </w:r>
          </w:p>
        </w:tc>
        <w:tc>
          <w:tcPr>
            <w:tcW w:w="3028" w:type="dxa"/>
            <w:vMerge w:val="restart"/>
            <w:noWrap/>
            <w:vAlign w:val="center"/>
          </w:tcPr>
          <w:p w14:paraId="0BCB3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r>
              <w:rPr>
                <w:rFonts w:hint="eastAsia" w:ascii="宋体" w:hAnsi="宋体"/>
                <w:bCs/>
                <w:sz w:val="21"/>
                <w:szCs w:val="21"/>
                <w:lang w:val="zh-CN"/>
              </w:rPr>
              <w:t>履约保证金的交纳形式限于转账、电汇、本票、银行汇票、银行保函（不接受其他形式的履约保证金）</w:t>
            </w:r>
          </w:p>
        </w:tc>
      </w:tr>
      <w:tr w14:paraId="4AEB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67" w:type="dxa"/>
            <w:noWrap/>
            <w:vAlign w:val="center"/>
          </w:tcPr>
          <w:p w14:paraId="4AA24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r>
              <w:rPr>
                <w:rFonts w:hint="eastAsia" w:ascii="宋体" w:hAnsi="宋体"/>
                <w:bCs/>
                <w:sz w:val="21"/>
                <w:szCs w:val="21"/>
                <w:lang w:val="zh-CN"/>
              </w:rPr>
              <w:t>开户银行及行号</w:t>
            </w:r>
          </w:p>
        </w:tc>
        <w:tc>
          <w:tcPr>
            <w:tcW w:w="3382" w:type="dxa"/>
            <w:noWrap/>
            <w:vAlign w:val="center"/>
          </w:tcPr>
          <w:p w14:paraId="6916B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Cs/>
                <w:sz w:val="21"/>
                <w:szCs w:val="21"/>
              </w:rPr>
            </w:pPr>
            <w:r>
              <w:rPr>
                <w:rFonts w:hint="eastAsia" w:ascii="宋体" w:hAnsi="宋体"/>
                <w:bCs/>
                <w:sz w:val="21"/>
                <w:szCs w:val="21"/>
              </w:rPr>
              <w:t>建设银行宜兴营业部</w:t>
            </w:r>
          </w:p>
        </w:tc>
        <w:tc>
          <w:tcPr>
            <w:tcW w:w="765" w:type="dxa"/>
            <w:vMerge w:val="continue"/>
            <w:noWrap/>
            <w:vAlign w:val="center"/>
          </w:tcPr>
          <w:p w14:paraId="5EAC8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p>
        </w:tc>
        <w:tc>
          <w:tcPr>
            <w:tcW w:w="3028" w:type="dxa"/>
            <w:vMerge w:val="continue"/>
            <w:noWrap/>
            <w:vAlign w:val="center"/>
          </w:tcPr>
          <w:p w14:paraId="60F40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p>
        </w:tc>
      </w:tr>
      <w:tr w14:paraId="2044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67" w:type="dxa"/>
            <w:noWrap/>
            <w:vAlign w:val="center"/>
          </w:tcPr>
          <w:p w14:paraId="5C7E6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r>
              <w:rPr>
                <w:rFonts w:hint="eastAsia" w:hAnsi="宋体"/>
                <w:bCs/>
                <w:sz w:val="21"/>
                <w:szCs w:val="21"/>
                <w:lang w:val="zh-CN"/>
              </w:rPr>
              <w:t>账号</w:t>
            </w:r>
          </w:p>
        </w:tc>
        <w:tc>
          <w:tcPr>
            <w:tcW w:w="3382" w:type="dxa"/>
            <w:noWrap/>
            <w:vAlign w:val="center"/>
          </w:tcPr>
          <w:p w14:paraId="3E3B0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Cs/>
                <w:sz w:val="21"/>
                <w:szCs w:val="21"/>
              </w:rPr>
            </w:pPr>
            <w:r>
              <w:rPr>
                <w:rFonts w:hint="eastAsia" w:ascii="宋体" w:hAnsi="宋体"/>
                <w:bCs/>
                <w:sz w:val="21"/>
                <w:szCs w:val="21"/>
              </w:rPr>
              <w:t>32001616236052502043</w:t>
            </w:r>
          </w:p>
        </w:tc>
        <w:tc>
          <w:tcPr>
            <w:tcW w:w="765" w:type="dxa"/>
            <w:vMerge w:val="continue"/>
            <w:noWrap/>
            <w:vAlign w:val="center"/>
          </w:tcPr>
          <w:p w14:paraId="289C6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p>
        </w:tc>
        <w:tc>
          <w:tcPr>
            <w:tcW w:w="3028" w:type="dxa"/>
            <w:vMerge w:val="continue"/>
            <w:noWrap/>
            <w:vAlign w:val="center"/>
          </w:tcPr>
          <w:p w14:paraId="1DBA5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Cs/>
                <w:sz w:val="21"/>
                <w:szCs w:val="21"/>
                <w:lang w:val="zh-CN"/>
              </w:rPr>
            </w:pPr>
          </w:p>
        </w:tc>
      </w:tr>
      <w:bookmarkEnd w:id="60"/>
    </w:tbl>
    <w:p w14:paraId="234A6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lang w:val="zh-CN"/>
        </w:rPr>
      </w:pPr>
      <w:r>
        <w:rPr>
          <w:rFonts w:hint="eastAsia" w:ascii="宋体" w:hAnsi="宋体"/>
          <w:bCs/>
          <w:sz w:val="24"/>
          <w:szCs w:val="24"/>
          <w:highlight w:val="none"/>
          <w:lang w:val="zh-CN"/>
        </w:rPr>
        <w:t>2</w:t>
      </w:r>
      <w:r>
        <w:rPr>
          <w:rFonts w:hint="eastAsia" w:ascii="宋体" w:hAnsi="宋体"/>
          <w:bCs/>
          <w:sz w:val="24"/>
          <w:szCs w:val="24"/>
          <w:highlight w:val="none"/>
          <w:lang w:val="en-US" w:eastAsia="zh-CN"/>
        </w:rPr>
        <w:t>5</w:t>
      </w:r>
      <w:r>
        <w:rPr>
          <w:rFonts w:hint="eastAsia" w:ascii="宋体" w:hAnsi="宋体"/>
          <w:bCs/>
          <w:sz w:val="24"/>
          <w:szCs w:val="24"/>
          <w:highlight w:val="none"/>
          <w:lang w:val="zh-CN"/>
        </w:rPr>
        <w:t>.5 履约保证金</w:t>
      </w:r>
      <w:r>
        <w:rPr>
          <w:rFonts w:hint="eastAsia" w:ascii="宋体" w:hAnsi="宋体" w:cs="宋体"/>
          <w:kern w:val="0"/>
          <w:sz w:val="24"/>
          <w:highlight w:val="none"/>
          <w:u w:val="none"/>
        </w:rPr>
        <w:t>于</w:t>
      </w:r>
      <w:r>
        <w:rPr>
          <w:rFonts w:hint="eastAsia" w:ascii="宋体" w:hAnsi="宋体" w:cs="宋体"/>
          <w:kern w:val="0"/>
          <w:sz w:val="24"/>
          <w:highlight w:val="none"/>
          <w:u w:val="none"/>
          <w:lang w:val="en-US" w:eastAsia="zh-CN"/>
        </w:rPr>
        <w:t>设备安装调试验收</w:t>
      </w:r>
      <w:r>
        <w:rPr>
          <w:rFonts w:hint="eastAsia" w:ascii="宋体" w:hAnsi="宋体" w:cs="宋体"/>
          <w:kern w:val="0"/>
          <w:sz w:val="24"/>
          <w:highlight w:val="none"/>
          <w:u w:val="none"/>
        </w:rPr>
        <w:t>合格后</w:t>
      </w:r>
      <w:r>
        <w:rPr>
          <w:rFonts w:hint="eastAsia" w:ascii="宋体" w:hAnsi="宋体"/>
          <w:sz w:val="24"/>
          <w:highlight w:val="none"/>
          <w:u w:val="none"/>
        </w:rPr>
        <w:t>无息退还。</w:t>
      </w:r>
    </w:p>
    <w:p w14:paraId="0FC65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FF0000"/>
          <w:sz w:val="24"/>
          <w:szCs w:val="24"/>
          <w:highlight w:val="none"/>
          <w:lang w:val="zh-CN"/>
        </w:rPr>
      </w:pPr>
      <w:r>
        <w:rPr>
          <w:rFonts w:hint="eastAsia" w:ascii="宋体" w:hAnsi="宋体"/>
          <w:bCs/>
          <w:color w:val="FF0000"/>
          <w:sz w:val="24"/>
          <w:szCs w:val="24"/>
          <w:highlight w:val="none"/>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4790F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1" w:name="OLE_LINK175"/>
      <w:r>
        <w:rPr>
          <w:rFonts w:hint="eastAsia" w:ascii="宋体" w:hAnsi="宋体"/>
          <w:bCs/>
          <w:sz w:val="24"/>
          <w:szCs w:val="24"/>
          <w:lang w:val="zh-CN"/>
        </w:rPr>
        <w:t>单位（含中标候选人）</w:t>
      </w:r>
      <w:bookmarkEnd w:id="61"/>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83A3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7DB7CC3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b/>
          <w:sz w:val="24"/>
          <w:szCs w:val="24"/>
          <w:lang w:val="en-US" w:eastAsia="zh-CN"/>
        </w:rPr>
      </w:pPr>
      <w:r>
        <w:rPr>
          <w:rFonts w:hint="eastAsia" w:ascii="宋体" w:hAnsi="宋体"/>
          <w:b/>
          <w:sz w:val="24"/>
          <w:szCs w:val="24"/>
          <w:lang w:val="en-US" w:eastAsia="zh-CN"/>
        </w:rPr>
        <w:t>七、投标行为及投标产品：</w:t>
      </w:r>
    </w:p>
    <w:p w14:paraId="01E99216">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360AC33C">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77EDEF77">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96AABE6">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1445BF44">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32281A4D">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044D3F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2" w:name="OLE_LINK184"/>
      <w:bookmarkStart w:id="63" w:name="OLE_LINK229"/>
      <w:r>
        <w:rPr>
          <w:rFonts w:hint="eastAsia" w:ascii="宋体" w:hAnsi="宋体"/>
          <w:b/>
          <w:sz w:val="24"/>
          <w:szCs w:val="24"/>
          <w:lang w:val="zh-CN"/>
        </w:rPr>
        <w:t>八、验收</w:t>
      </w:r>
    </w:p>
    <w:p w14:paraId="56681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2"/>
    </w:p>
    <w:p w14:paraId="419F21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607814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64" w:name="OLE_LINK100"/>
      <w:bookmarkStart w:id="65" w:name="OLE_LINK188"/>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4A2A1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66"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66"/>
    </w:p>
    <w:bookmarkEnd w:id="63"/>
    <w:bookmarkEnd w:id="64"/>
    <w:bookmarkEnd w:id="65"/>
    <w:p w14:paraId="65472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67F68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2C57F4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2F8814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w:t>
      </w:r>
      <w:r>
        <w:rPr>
          <w:rFonts w:hint="eastAsia" w:ascii="宋体" w:hAnsi="宋体"/>
          <w:bCs/>
          <w:sz w:val="24"/>
          <w:szCs w:val="24"/>
          <w:lang w:val="en-US" w:eastAsia="zh-CN"/>
        </w:rPr>
        <w:t>三</w:t>
      </w:r>
      <w:r>
        <w:rPr>
          <w:rFonts w:hint="eastAsia" w:ascii="宋体" w:hAnsi="宋体"/>
          <w:bCs/>
          <w:sz w:val="24"/>
          <w:szCs w:val="24"/>
          <w:lang w:val="zh-CN"/>
        </w:rPr>
        <w:t>个工作日内进行书面答复。</w:t>
      </w:r>
    </w:p>
    <w:p w14:paraId="3302EF7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061452E0">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 xml:space="preserve"> 投诉</w:t>
      </w:r>
      <w:r>
        <w:rPr>
          <w:rFonts w:ascii="宋体" w:hAnsi="宋体"/>
          <w:bCs/>
          <w:sz w:val="24"/>
          <w:szCs w:val="24"/>
          <w:lang w:val="zh-CN"/>
        </w:rPr>
        <w:tab/>
      </w:r>
    </w:p>
    <w:p w14:paraId="31AD78B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Times New Roman"/>
          <w:bCs/>
          <w:sz w:val="24"/>
          <w:szCs w:val="24"/>
          <w:lang w:val="zh-CN"/>
        </w:rPr>
      </w:pPr>
      <w:r>
        <w:rPr>
          <w:rFonts w:hint="eastAsia" w:ascii="宋体" w:hAnsi="宋体" w:eastAsia="宋体" w:cs="Times New Roman"/>
          <w:bCs/>
          <w:sz w:val="24"/>
          <w:szCs w:val="24"/>
          <w:lang w:val="en-US" w:eastAsia="zh-CN"/>
        </w:rPr>
        <w:t>30</w:t>
      </w:r>
      <w:r>
        <w:rPr>
          <w:rFonts w:hint="eastAsia" w:ascii="宋体" w:hAnsi="宋体" w:eastAsia="宋体" w:cs="Times New Roman"/>
          <w:bCs/>
          <w:sz w:val="24"/>
          <w:szCs w:val="24"/>
          <w:lang w:val="zh-CN"/>
        </w:rPr>
        <w:t>.1质疑供应商对招标人、招标代理机构的答复不满意或者招标人、招标代理机构未在规定的时间内作出答复的，可以在答复期满后三个工作日内提出投诉。</w:t>
      </w:r>
    </w:p>
    <w:p w14:paraId="69511C37">
      <w:pPr>
        <w:jc w:val="center"/>
        <w:outlineLvl w:val="0"/>
        <w:rPr>
          <w:rFonts w:ascii="黑体" w:hAnsi="黑体" w:eastAsia="黑体"/>
          <w:sz w:val="32"/>
          <w:szCs w:val="32"/>
        </w:rPr>
      </w:pPr>
    </w:p>
    <w:p w14:paraId="256B9731">
      <w:pPr>
        <w:jc w:val="center"/>
        <w:outlineLvl w:val="0"/>
        <w:rPr>
          <w:rFonts w:hint="eastAsia" w:ascii="黑体" w:hAnsi="黑体" w:eastAsia="黑体"/>
          <w:sz w:val="32"/>
          <w:szCs w:val="32"/>
          <w:lang w:val="en-US" w:eastAsia="zh-CN"/>
        </w:rPr>
      </w:pPr>
    </w:p>
    <w:p w14:paraId="0DF8DBEB">
      <w:pPr>
        <w:pStyle w:val="73"/>
        <w:ind w:firstLine="320"/>
        <w:rPr>
          <w:rFonts w:ascii="黑体" w:hAnsi="黑体" w:eastAsia="黑体"/>
          <w:sz w:val="32"/>
          <w:szCs w:val="32"/>
        </w:rPr>
      </w:pPr>
    </w:p>
    <w:p w14:paraId="6B38C37C">
      <w:pPr>
        <w:rPr>
          <w:rFonts w:hint="eastAsia" w:ascii="黑体" w:hAnsi="黑体" w:eastAsia="黑体"/>
          <w:sz w:val="28"/>
        </w:rPr>
      </w:pPr>
      <w:bookmarkStart w:id="67" w:name="_Toc376165139"/>
      <w:bookmarkStart w:id="68" w:name="_Toc24341"/>
      <w:bookmarkStart w:id="69" w:name="_Toc26921"/>
      <w:bookmarkStart w:id="70" w:name="_Toc15017"/>
      <w:bookmarkStart w:id="71" w:name="_Toc372018550"/>
      <w:bookmarkStart w:id="72" w:name="_Toc374078452"/>
      <w:bookmarkStart w:id="73" w:name="_Toc372018970"/>
      <w:r>
        <w:rPr>
          <w:rFonts w:hint="eastAsia" w:ascii="黑体" w:hAnsi="黑体" w:eastAsia="黑体"/>
          <w:sz w:val="28"/>
        </w:rPr>
        <w:br w:type="page"/>
      </w:r>
    </w:p>
    <w:p w14:paraId="44CB30A0">
      <w:pPr>
        <w:spacing w:line="360" w:lineRule="auto"/>
        <w:jc w:val="center"/>
        <w:rPr>
          <w:rFonts w:ascii="黑体" w:hAnsi="黑体" w:eastAsia="黑体"/>
          <w:sz w:val="24"/>
          <w:szCs w:val="24"/>
        </w:rPr>
      </w:pPr>
      <w:r>
        <w:rPr>
          <w:rFonts w:hint="eastAsia" w:ascii="黑体" w:hAnsi="黑体" w:eastAsia="黑体"/>
          <w:sz w:val="28"/>
        </w:rPr>
        <w:t>第三章 项目技术要求和有关说明</w:t>
      </w:r>
    </w:p>
    <w:p w14:paraId="441F5D1F">
      <w:pPr>
        <w:numPr>
          <w:ilvl w:val="0"/>
          <w:numId w:val="0"/>
        </w:numPr>
        <w:spacing w:line="360" w:lineRule="auto"/>
        <w:rPr>
          <w:rFonts w:ascii="宋体" w:hAnsi="宋体"/>
          <w:b/>
          <w:sz w:val="24"/>
          <w:szCs w:val="24"/>
          <w:lang w:val="zh-CN"/>
        </w:rPr>
      </w:pPr>
      <w:r>
        <w:rPr>
          <w:rFonts w:hint="eastAsia" w:ascii="宋体" w:hAnsi="宋体" w:eastAsia="宋体" w:cs="Times New Roman"/>
          <w:b/>
          <w:kern w:val="2"/>
          <w:sz w:val="24"/>
          <w:szCs w:val="24"/>
          <w:lang w:val="zh-CN" w:eastAsia="zh-CN" w:bidi="ar-SA"/>
        </w:rPr>
        <w:t>一、</w:t>
      </w:r>
      <w:r>
        <w:rPr>
          <w:rFonts w:hint="eastAsia" w:ascii="宋体" w:hAnsi="宋体"/>
          <w:b/>
          <w:sz w:val="24"/>
          <w:szCs w:val="24"/>
        </w:rPr>
        <w:t>项目概述</w:t>
      </w:r>
      <w:r>
        <w:rPr>
          <w:rFonts w:hint="eastAsia" w:ascii="宋体" w:hAnsi="宋体"/>
          <w:b/>
          <w:sz w:val="24"/>
          <w:szCs w:val="24"/>
          <w:lang w:val="zh-CN"/>
        </w:rPr>
        <w:t>：</w:t>
      </w:r>
    </w:p>
    <w:p w14:paraId="10077AF3">
      <w:pPr>
        <w:keepNext w:val="0"/>
        <w:keepLines w:val="0"/>
        <w:pageBreakBefore w:val="0"/>
        <w:widowControl w:val="0"/>
        <w:tabs>
          <w:tab w:val="left" w:pos="945"/>
        </w:tabs>
        <w:kinsoku/>
        <w:wordWrap/>
        <w:overflowPunct/>
        <w:topLinePunct w:val="0"/>
        <w:autoSpaceDE/>
        <w:autoSpaceDN/>
        <w:bidi w:val="0"/>
        <w:adjustRightInd/>
        <w:snapToGrid/>
        <w:spacing w:line="360" w:lineRule="auto"/>
        <w:ind w:left="0" w:firstLine="480" w:firstLineChars="200"/>
        <w:jc w:val="left"/>
        <w:textAlignment w:val="auto"/>
        <w:rPr>
          <w:rFonts w:ascii="宋体" w:hAnsi="宋体"/>
          <w:sz w:val="24"/>
          <w:szCs w:val="24"/>
          <w:highlight w:val="none"/>
        </w:rPr>
      </w:pPr>
      <w:r>
        <w:rPr>
          <w:rFonts w:hint="eastAsia" w:ascii="宋体" w:hAnsi="宋体"/>
          <w:sz w:val="24"/>
          <w:szCs w:val="24"/>
          <w:highlight w:val="none"/>
        </w:rPr>
        <w:t>本次</w:t>
      </w:r>
      <w:r>
        <w:rPr>
          <w:rFonts w:hint="eastAsia" w:ascii="宋体" w:hAnsi="宋体"/>
          <w:sz w:val="24"/>
          <w:szCs w:val="24"/>
          <w:highlight w:val="none"/>
          <w:lang w:val="en-US" w:eastAsia="zh-CN"/>
        </w:rPr>
        <w:t>招标是由宜兴市公用环保集团有限公司材料分公司供应的自行组织招标的工程所用的加药系统及相关配件等。</w:t>
      </w:r>
      <w:r>
        <w:rPr>
          <w:rFonts w:hint="eastAsia" w:ascii="宋体" w:hAnsi="宋体"/>
          <w:sz w:val="24"/>
          <w:szCs w:val="24"/>
          <w:highlight w:val="none"/>
        </w:rPr>
        <w:t>投标人须提供满足以下要求的服务，不得有负偏离：</w:t>
      </w:r>
    </w:p>
    <w:p w14:paraId="2932B039">
      <w:pPr>
        <w:widowControl/>
        <w:spacing w:line="276" w:lineRule="auto"/>
        <w:jc w:val="left"/>
        <w:rPr>
          <w:rFonts w:ascii="宋体" w:hAnsi="宋体" w:cs="宋体"/>
          <w:b/>
          <w:sz w:val="24"/>
          <w:highlight w:val="none"/>
        </w:rPr>
      </w:pPr>
      <w:r>
        <w:rPr>
          <w:rFonts w:hint="eastAsia" w:ascii="宋体" w:hAnsi="宋体"/>
          <w:bCs/>
          <w:sz w:val="24"/>
          <w:szCs w:val="24"/>
          <w:highlight w:val="none"/>
          <w:lang w:val="zh-CN"/>
        </w:rPr>
        <w:t>二、</w:t>
      </w:r>
      <w:r>
        <w:rPr>
          <w:rFonts w:hint="eastAsia" w:ascii="宋体" w:hAnsi="宋体"/>
          <w:b/>
          <w:bCs w:val="0"/>
          <w:sz w:val="24"/>
          <w:szCs w:val="24"/>
          <w:highlight w:val="none"/>
          <w:lang w:val="en-US" w:eastAsia="zh-CN"/>
        </w:rPr>
        <w:t>项目</w:t>
      </w:r>
      <w:r>
        <w:rPr>
          <w:rFonts w:hint="eastAsia" w:ascii="宋体" w:hAnsi="宋体"/>
          <w:b/>
          <w:sz w:val="24"/>
          <w:szCs w:val="24"/>
          <w:highlight w:val="none"/>
        </w:rPr>
        <w:t xml:space="preserve">技术要求: </w:t>
      </w:r>
    </w:p>
    <w:p w14:paraId="2A731943">
      <w:pPr>
        <w:rPr>
          <w:rFonts w:hint="eastAsia" w:ascii="宋体" w:hAnsi="宋体" w:eastAsia="宋体" w:cs="Times New Roman"/>
          <w:sz w:val="24"/>
          <w:szCs w:val="24"/>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一</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本次招标项目的要求及数量详见</w:t>
      </w:r>
      <w:r>
        <w:rPr>
          <w:rFonts w:hint="eastAsia" w:ascii="宋体" w:hAnsi="宋体" w:eastAsia="宋体" w:cs="Times New Roman"/>
          <w:sz w:val="24"/>
          <w:szCs w:val="24"/>
        </w:rPr>
        <w:t>下表。</w:t>
      </w:r>
    </w:p>
    <w:tbl>
      <w:tblPr>
        <w:tblStyle w:val="75"/>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016"/>
        <w:gridCol w:w="1314"/>
        <w:gridCol w:w="2875"/>
        <w:gridCol w:w="587"/>
        <w:gridCol w:w="639"/>
        <w:gridCol w:w="2458"/>
      </w:tblGrid>
      <w:tr w14:paraId="6D10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2E47">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26FD">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类别</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CEB7">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设备名称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C2D5">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设计型号规格</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5C38">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单位</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2D76">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数量</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482E">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备注</w:t>
            </w:r>
          </w:p>
        </w:tc>
      </w:tr>
      <w:tr w14:paraId="4FDF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546" w:type="dxa"/>
            <w:vMerge w:val="restart"/>
            <w:tcBorders>
              <w:top w:val="single" w:color="000000" w:sz="4" w:space="0"/>
              <w:left w:val="single" w:color="000000" w:sz="4" w:space="0"/>
              <w:right w:val="single" w:color="000000" w:sz="4" w:space="0"/>
            </w:tcBorders>
            <w:shd w:val="clear" w:color="auto" w:fill="auto"/>
            <w:noWrap/>
            <w:vAlign w:val="center"/>
          </w:tcPr>
          <w:p w14:paraId="59E9CD10">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1016" w:type="dxa"/>
            <w:vMerge w:val="restart"/>
            <w:tcBorders>
              <w:top w:val="single" w:color="000000" w:sz="4" w:space="0"/>
              <w:left w:val="single" w:color="000000" w:sz="4" w:space="0"/>
              <w:right w:val="single" w:color="000000" w:sz="4" w:space="0"/>
            </w:tcBorders>
            <w:shd w:val="clear" w:color="auto" w:fill="auto"/>
            <w:noWrap/>
            <w:vAlign w:val="center"/>
          </w:tcPr>
          <w:p w14:paraId="69E84348">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脱水加药系统</w:t>
            </w:r>
            <w:r>
              <w:rPr>
                <w:rFonts w:hint="eastAsia" w:ascii="宋体" w:hAnsi="宋体" w:eastAsia="宋体" w:cs="Times New Roman"/>
                <w:b/>
                <w:bCs/>
                <w:color w:val="0000FF"/>
                <w:sz w:val="21"/>
                <w:szCs w:val="21"/>
                <w:lang w:val="en-US" w:eastAsia="zh-CN"/>
              </w:rPr>
              <w:t>（撬装供货）</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766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脱水加药箱</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002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1、型号：3000型</w:t>
            </w:r>
          </w:p>
          <w:p w14:paraId="295BBC9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2、外形尺寸：3×5×2.2m         </w:t>
            </w:r>
          </w:p>
          <w:p w14:paraId="4C10766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3、材质：A304不锈钢</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3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5F0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2458" w:type="dxa"/>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00273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自带控制箱，控制搅拌机及自动配比药剂</w:t>
            </w:r>
          </w:p>
        </w:tc>
      </w:tr>
      <w:tr w14:paraId="6EDC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546" w:type="dxa"/>
            <w:vMerge w:val="continue"/>
            <w:tcBorders>
              <w:left w:val="single" w:color="000000" w:sz="4" w:space="0"/>
              <w:right w:val="single" w:color="000000" w:sz="4" w:space="0"/>
            </w:tcBorders>
            <w:shd w:val="clear" w:color="auto" w:fill="auto"/>
            <w:noWrap/>
            <w:vAlign w:val="center"/>
          </w:tcPr>
          <w:p w14:paraId="2E35ED87">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016" w:type="dxa"/>
            <w:vMerge w:val="continue"/>
            <w:tcBorders>
              <w:left w:val="single" w:color="000000" w:sz="4" w:space="0"/>
              <w:right w:val="single" w:color="000000" w:sz="4" w:space="0"/>
            </w:tcBorders>
            <w:shd w:val="clear" w:color="auto" w:fill="auto"/>
            <w:noWrap/>
            <w:vAlign w:val="center"/>
          </w:tcPr>
          <w:p w14:paraId="55A221DF">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A3D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脱水加药泵</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517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1、流量：5m³/h</w:t>
            </w:r>
          </w:p>
          <w:p w14:paraId="4C3F171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2、工作压力：0.6MPa</w:t>
            </w:r>
          </w:p>
          <w:p w14:paraId="5008464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3、功率：2.2kw</w:t>
            </w:r>
          </w:p>
          <w:p w14:paraId="6861B00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auto"/>
                <w:kern w:val="0"/>
                <w:sz w:val="21"/>
                <w:szCs w:val="21"/>
                <w:lang w:bidi="ar"/>
              </w:rPr>
              <w:t>转速不得高于400转/分</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3C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EA4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p>
        </w:tc>
        <w:tc>
          <w:tcPr>
            <w:tcW w:w="2458" w:type="dxa"/>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DFF105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卧式螺杆泵，配套变频电机</w:t>
            </w:r>
          </w:p>
        </w:tc>
      </w:tr>
      <w:tr w14:paraId="2C8F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546" w:type="dxa"/>
            <w:vMerge w:val="continue"/>
            <w:tcBorders>
              <w:left w:val="single" w:color="000000" w:sz="4" w:space="0"/>
              <w:right w:val="single" w:color="000000" w:sz="4" w:space="0"/>
            </w:tcBorders>
            <w:shd w:val="clear" w:color="auto" w:fill="auto"/>
            <w:noWrap/>
            <w:vAlign w:val="center"/>
          </w:tcPr>
          <w:p w14:paraId="04FE63DD">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016" w:type="dxa"/>
            <w:vMerge w:val="continue"/>
            <w:tcBorders>
              <w:left w:val="single" w:color="000000" w:sz="4" w:space="0"/>
              <w:right w:val="single" w:color="000000" w:sz="4" w:space="0"/>
            </w:tcBorders>
            <w:shd w:val="clear" w:color="auto" w:fill="auto"/>
            <w:noWrap/>
            <w:vAlign w:val="center"/>
          </w:tcPr>
          <w:p w14:paraId="1D28A09C">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E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叠螺脱水加药泵</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96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1、流量：1000L/h</w:t>
            </w:r>
          </w:p>
          <w:p w14:paraId="55F830E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2、工作压力：0.3MPa</w:t>
            </w:r>
          </w:p>
          <w:p w14:paraId="6F09977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3、功率：1.1kw</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4D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83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2458" w:type="dxa"/>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7A8B1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隔膜计量泵</w:t>
            </w:r>
          </w:p>
        </w:tc>
      </w:tr>
      <w:tr w14:paraId="67EB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546" w:type="dxa"/>
            <w:vMerge w:val="continue"/>
            <w:tcBorders>
              <w:left w:val="single" w:color="000000" w:sz="4" w:space="0"/>
              <w:right w:val="single" w:color="000000" w:sz="4" w:space="0"/>
            </w:tcBorders>
            <w:shd w:val="clear" w:color="auto" w:fill="auto"/>
            <w:noWrap/>
            <w:vAlign w:val="center"/>
          </w:tcPr>
          <w:p w14:paraId="3202F431">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016" w:type="dxa"/>
            <w:vMerge w:val="continue"/>
            <w:tcBorders>
              <w:left w:val="single" w:color="000000" w:sz="4" w:space="0"/>
              <w:right w:val="single" w:color="000000" w:sz="4" w:space="0"/>
            </w:tcBorders>
            <w:shd w:val="clear" w:color="auto" w:fill="auto"/>
            <w:noWrap/>
            <w:vAlign w:val="center"/>
          </w:tcPr>
          <w:p w14:paraId="5E388D02">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2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加药管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C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5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A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458" w:type="dxa"/>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276C5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工业级UPVC</w:t>
            </w:r>
          </w:p>
        </w:tc>
      </w:tr>
      <w:tr w14:paraId="0335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546" w:type="dxa"/>
            <w:vMerge w:val="continue"/>
            <w:tcBorders>
              <w:left w:val="single" w:color="000000" w:sz="4" w:space="0"/>
              <w:right w:val="single" w:color="000000" w:sz="4" w:space="0"/>
            </w:tcBorders>
            <w:shd w:val="clear" w:color="auto" w:fill="auto"/>
            <w:noWrap/>
            <w:vAlign w:val="center"/>
          </w:tcPr>
          <w:p w14:paraId="75BB484A">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016" w:type="dxa"/>
            <w:vMerge w:val="continue"/>
            <w:tcBorders>
              <w:left w:val="single" w:color="000000" w:sz="4" w:space="0"/>
              <w:right w:val="single" w:color="000000" w:sz="4" w:space="0"/>
            </w:tcBorders>
            <w:shd w:val="clear" w:color="auto" w:fill="auto"/>
            <w:noWrap/>
            <w:vAlign w:val="center"/>
          </w:tcPr>
          <w:p w14:paraId="7959C20D">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4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加药管配件</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5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6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458" w:type="dxa"/>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2C793B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w:t>
            </w:r>
            <w:r>
              <w:rPr>
                <w:rFonts w:hint="eastAsia" w:asciiTheme="minorEastAsia" w:hAnsiTheme="minorEastAsia" w:eastAsiaTheme="minorEastAsia" w:cstheme="minorEastAsia"/>
                <w:sz w:val="21"/>
                <w:szCs w:val="21"/>
                <w:highlight w:val="none"/>
                <w:lang w:val="en-US" w:eastAsia="zh-CN"/>
              </w:rPr>
              <w:t>业级UPVC，包含但不限于：球阀、安全阀、背压阀、过滤器、阻尼器、压力表、</w:t>
            </w:r>
            <w:r>
              <w:rPr>
                <w:rFonts w:hint="eastAsia" w:asciiTheme="minorEastAsia" w:hAnsiTheme="minorEastAsia" w:eastAsiaTheme="minorEastAsia" w:cstheme="minorEastAsia"/>
                <w:sz w:val="21"/>
                <w:szCs w:val="21"/>
                <w:lang w:val="en-US" w:eastAsia="zh-CN"/>
              </w:rPr>
              <w:t>连接管管件等</w:t>
            </w:r>
          </w:p>
        </w:tc>
      </w:tr>
      <w:tr w14:paraId="099F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546" w:type="dxa"/>
            <w:vMerge w:val="continue"/>
            <w:tcBorders>
              <w:left w:val="single" w:color="000000" w:sz="4" w:space="0"/>
              <w:bottom w:val="single" w:color="000000" w:sz="4" w:space="0"/>
              <w:right w:val="single" w:color="000000" w:sz="4" w:space="0"/>
            </w:tcBorders>
            <w:shd w:val="clear" w:color="auto" w:fill="auto"/>
            <w:noWrap/>
            <w:vAlign w:val="center"/>
          </w:tcPr>
          <w:p w14:paraId="5496A3D1">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016" w:type="dxa"/>
            <w:vMerge w:val="continue"/>
            <w:tcBorders>
              <w:left w:val="single" w:color="000000" w:sz="4" w:space="0"/>
              <w:bottom w:val="single" w:color="000000" w:sz="4" w:space="0"/>
              <w:right w:val="single" w:color="000000" w:sz="4" w:space="0"/>
            </w:tcBorders>
            <w:shd w:val="clear" w:color="auto" w:fill="auto"/>
            <w:noWrap/>
            <w:vAlign w:val="center"/>
          </w:tcPr>
          <w:p w14:paraId="5E087A89">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3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成套及安装调试</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9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B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5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458" w:type="dxa"/>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50A722">
            <w:pPr>
              <w:jc w:val="center"/>
              <w:rPr>
                <w:rFonts w:hint="eastAsia" w:asciiTheme="minorEastAsia" w:hAnsiTheme="minorEastAsia" w:eastAsiaTheme="minorEastAsia" w:cstheme="minorEastAsia"/>
                <w:color w:val="0000FF"/>
                <w:sz w:val="21"/>
                <w:szCs w:val="21"/>
                <w:lang w:val="en-US" w:eastAsia="zh-CN"/>
              </w:rPr>
            </w:pPr>
          </w:p>
        </w:tc>
      </w:tr>
      <w:tr w14:paraId="3178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F3BD">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112E">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尾水加药系统</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9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加药箱</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B32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1、外形尺寸：3×5×2.2m </w:t>
            </w:r>
          </w:p>
          <w:p w14:paraId="094851A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2、材质：PP</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D33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座</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1A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157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见附件图纸，含搅拌机等附件</w:t>
            </w:r>
          </w:p>
        </w:tc>
      </w:tr>
      <w:tr w14:paraId="6070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7526">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5168">
            <w:pPr>
              <w:keepNext w:val="0"/>
              <w:keepLines w:val="0"/>
              <w:pageBreakBefore w:val="0"/>
              <w:kinsoku/>
              <w:wordWrap/>
              <w:overflowPunct/>
              <w:topLinePunct w:val="0"/>
              <w:autoSpaceDE/>
              <w:autoSpaceDN/>
              <w:bidi w:val="0"/>
              <w:adjustRightInd/>
              <w:snapToGrid w:val="0"/>
              <w:jc w:val="center"/>
              <w:rPr>
                <w:rFonts w:hint="eastAsia" w:ascii="宋体" w:hAnsi="宋体" w:eastAsia="宋体" w:cs="Times New Roman"/>
                <w:sz w:val="21"/>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8990">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加药泵（隔膜计量泵）</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C9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1、流量：1000L/h</w:t>
            </w:r>
          </w:p>
          <w:p w14:paraId="0055F1D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2、工作压力：0.3MPa</w:t>
            </w:r>
          </w:p>
          <w:p w14:paraId="0605142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3、功率：1.1kw</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77F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0FC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173B">
            <w:pPr>
              <w:jc w:val="both"/>
              <w:rPr>
                <w:rFonts w:hint="eastAsia" w:asciiTheme="minorEastAsia" w:hAnsiTheme="minorEastAsia" w:eastAsiaTheme="minorEastAsia" w:cstheme="minorEastAsia"/>
                <w:sz w:val="21"/>
                <w:szCs w:val="21"/>
                <w:lang w:val="en-US" w:eastAsia="zh-CN"/>
              </w:rPr>
            </w:pPr>
          </w:p>
        </w:tc>
      </w:tr>
    </w:tbl>
    <w:p w14:paraId="0BB7B1B5">
      <w:pPr>
        <w:rPr>
          <w:rFonts w:hint="eastAsia" w:ascii="宋体" w:hAnsi="宋体" w:eastAsia="宋体" w:cs="Times New Roman"/>
          <w:sz w:val="24"/>
          <w:szCs w:val="24"/>
        </w:rPr>
      </w:pPr>
    </w:p>
    <w:p w14:paraId="1015EC89">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left="0" w:firstLine="480" w:firstLineChars="200"/>
        <w:jc w:val="left"/>
        <w:textAlignment w:val="auto"/>
        <w:rPr>
          <w:rFonts w:hint="eastAsia" w:ascii="Calibri" w:hAnsi="Calibri" w:eastAsia="宋体"/>
          <w:szCs w:val="24"/>
          <w:lang w:eastAsia="zh-CN"/>
        </w:rPr>
      </w:pPr>
      <w:r>
        <w:rPr>
          <w:rFonts w:hint="eastAsia" w:ascii="宋体" w:hAnsi="宋体" w:eastAsia="宋体" w:cs="Times New Roman"/>
          <w:sz w:val="24"/>
          <w:szCs w:val="24"/>
        </w:rPr>
        <w:t>注：</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lang w:val="zh-CN"/>
        </w:rPr>
        <w:t>上述设备报价一次报定，并且须包含所有运输、</w:t>
      </w:r>
      <w:r>
        <w:rPr>
          <w:rFonts w:hint="eastAsia" w:ascii="宋体" w:hAnsi="宋体" w:eastAsia="宋体" w:cs="Times New Roman"/>
          <w:sz w:val="24"/>
          <w:szCs w:val="24"/>
          <w:lang w:val="en-US" w:eastAsia="zh-CN"/>
        </w:rPr>
        <w:t>装卸、</w:t>
      </w:r>
      <w:r>
        <w:rPr>
          <w:rFonts w:hint="eastAsia" w:ascii="宋体" w:hAnsi="宋体" w:eastAsia="宋体" w:cs="Times New Roman"/>
          <w:sz w:val="24"/>
          <w:szCs w:val="24"/>
          <w:lang w:val="zh-CN"/>
        </w:rPr>
        <w:t>税费、预埋件等安装附件及安装费用，安装附件内容及要求详见技术参数要求。</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rPr>
        <w:t>可自行前往施工地点查看建设内容及工程量</w:t>
      </w:r>
      <w:r>
        <w:rPr>
          <w:rFonts w:hint="eastAsia" w:ascii="宋体" w:hAnsi="宋体" w:eastAsia="宋体" w:cs="Times New Roman"/>
          <w:color w:val="0000FF"/>
          <w:sz w:val="24"/>
          <w:szCs w:val="24"/>
          <w:lang w:eastAsia="zh-CN"/>
        </w:rPr>
        <w:t>（</w:t>
      </w:r>
      <w:r>
        <w:rPr>
          <w:rFonts w:hint="eastAsia" w:ascii="宋体" w:hAnsi="宋体" w:eastAsia="宋体" w:cs="Times New Roman"/>
          <w:color w:val="0000FF"/>
          <w:sz w:val="24"/>
          <w:szCs w:val="24"/>
          <w:lang w:val="en-US" w:eastAsia="zh-CN"/>
        </w:rPr>
        <w:t>联系人：倪先生 18806150313）</w:t>
      </w:r>
      <w:r>
        <w:rPr>
          <w:rFonts w:hint="eastAsia" w:ascii="宋体" w:hAnsi="宋体" w:eastAsia="宋体" w:cs="Times New Roman"/>
          <w:sz w:val="24"/>
          <w:szCs w:val="24"/>
        </w:rPr>
        <w:t>，有问题请于开标前提出，</w:t>
      </w:r>
      <w:r>
        <w:rPr>
          <w:rFonts w:hint="eastAsia" w:ascii="宋体" w:hAnsi="宋体" w:eastAsia="宋体" w:cs="Times New Roman"/>
          <w:sz w:val="24"/>
          <w:szCs w:val="24"/>
          <w:lang w:val="en-US" w:eastAsia="zh-CN"/>
        </w:rPr>
        <w:t>图纸及清单</w:t>
      </w:r>
      <w:r>
        <w:rPr>
          <w:rFonts w:hint="eastAsia" w:ascii="宋体" w:hAnsi="宋体" w:eastAsia="宋体" w:cs="Times New Roman"/>
          <w:sz w:val="24"/>
          <w:szCs w:val="24"/>
        </w:rPr>
        <w:t>中只列出了主要</w:t>
      </w:r>
      <w:r>
        <w:rPr>
          <w:rFonts w:hint="eastAsia" w:ascii="宋体" w:hAnsi="宋体" w:eastAsia="宋体" w:cs="Times New Roman"/>
          <w:sz w:val="24"/>
          <w:szCs w:val="24"/>
          <w:lang w:val="en-US" w:eastAsia="zh-CN"/>
        </w:rPr>
        <w:t>设备</w:t>
      </w:r>
      <w:r>
        <w:rPr>
          <w:rFonts w:hint="eastAsia" w:ascii="宋体" w:hAnsi="宋体" w:eastAsia="宋体" w:cs="Times New Roman"/>
          <w:sz w:val="24"/>
          <w:szCs w:val="24"/>
        </w:rPr>
        <w:t>，其它</w:t>
      </w:r>
      <w:r>
        <w:rPr>
          <w:rFonts w:hint="eastAsia" w:ascii="宋体" w:hAnsi="宋体" w:eastAsia="宋体" w:cs="Times New Roman"/>
          <w:sz w:val="24"/>
          <w:szCs w:val="24"/>
          <w:lang w:val="en-US" w:eastAsia="zh-CN"/>
        </w:rPr>
        <w:t>配件及相关</w:t>
      </w:r>
      <w:r>
        <w:rPr>
          <w:rFonts w:hint="eastAsia" w:ascii="宋体" w:hAnsi="宋体" w:eastAsia="宋体" w:cs="Times New Roman"/>
          <w:sz w:val="24"/>
          <w:szCs w:val="24"/>
        </w:rPr>
        <w:t>附件请根据现场情况配置，价格包含在投标总价中，中标后价格将不会得到调整，中标单位务必充分交流，配合施工，确保所供设备能接入总系统正常运行。</w:t>
      </w:r>
    </w:p>
    <w:p w14:paraId="1ABFA382">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Times New Roman"/>
          <w:sz w:val="24"/>
          <w:szCs w:val="24"/>
          <w:lang w:val="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val="zh-CN"/>
        </w:rPr>
        <w:t>合同签订时或实际使用时数量可能会有较大变动，</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lang w:val="zh-CN"/>
        </w:rPr>
        <w:t>接到</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lang w:val="zh-CN"/>
        </w:rPr>
        <w:t>发货通知后才能生产对应的设备，最终结算以实际使用数量结算，若由于采购方原因导致使用数量不足而终止合同的，不作为违约处理。</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lang w:val="zh-CN"/>
        </w:rPr>
        <w:t>必须充分考虑市场原料价格变动和实际使用数量的风险，最终结算以单价为准。</w:t>
      </w:r>
    </w:p>
    <w:p w14:paraId="5E68670A">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Times New Roman"/>
          <w:sz w:val="24"/>
          <w:szCs w:val="24"/>
          <w:highlight w:val="none"/>
          <w:lang w:val="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val="zh-CN"/>
        </w:rPr>
        <w:t>、泵</w:t>
      </w:r>
      <w:r>
        <w:rPr>
          <w:rFonts w:hint="eastAsia" w:ascii="宋体" w:hAnsi="宋体" w:eastAsia="宋体" w:cs="Times New Roman"/>
          <w:sz w:val="24"/>
          <w:szCs w:val="24"/>
          <w:lang w:val="en-US" w:eastAsia="zh-CN"/>
        </w:rPr>
        <w:t>及成品加药箱</w:t>
      </w:r>
      <w:r>
        <w:rPr>
          <w:rFonts w:hint="eastAsia" w:ascii="宋体" w:hAnsi="宋体" w:eastAsia="宋体" w:cs="Times New Roman"/>
          <w:sz w:val="24"/>
          <w:szCs w:val="24"/>
          <w:lang w:val="zh-CN"/>
        </w:rPr>
        <w:t>配套的螺栓、进出口配对法兰等均须由</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lang w:val="zh-CN"/>
        </w:rPr>
        <w:t>一并提供，报价含在水</w:t>
      </w:r>
      <w:r>
        <w:rPr>
          <w:rFonts w:hint="eastAsia" w:ascii="宋体" w:hAnsi="宋体" w:eastAsia="宋体" w:cs="Times New Roman"/>
          <w:sz w:val="24"/>
          <w:szCs w:val="24"/>
          <w:highlight w:val="none"/>
          <w:lang w:val="zh-CN"/>
        </w:rPr>
        <w:t>泵中。</w:t>
      </w:r>
    </w:p>
    <w:p w14:paraId="73B88855">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Times New Roman"/>
          <w:sz w:val="24"/>
          <w:szCs w:val="24"/>
          <w:highlight w:val="none"/>
          <w:lang w:val="zh-CN"/>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lang w:val="zh-CN"/>
        </w:rPr>
        <w:t>、所供设备均需符合图纸</w:t>
      </w:r>
      <w:r>
        <w:rPr>
          <w:rFonts w:hint="eastAsia" w:ascii="宋体" w:hAnsi="宋体" w:eastAsia="宋体" w:cs="Times New Roman"/>
          <w:sz w:val="24"/>
          <w:szCs w:val="24"/>
          <w:highlight w:val="none"/>
          <w:lang w:val="en-US" w:eastAsia="zh-CN"/>
        </w:rPr>
        <w:t>及现场实际使用</w:t>
      </w:r>
      <w:r>
        <w:rPr>
          <w:rFonts w:hint="eastAsia" w:ascii="宋体" w:hAnsi="宋体" w:eastAsia="宋体" w:cs="Times New Roman"/>
          <w:sz w:val="24"/>
          <w:szCs w:val="24"/>
          <w:highlight w:val="none"/>
          <w:lang w:val="zh-CN"/>
        </w:rPr>
        <w:t>要求。</w:t>
      </w:r>
    </w:p>
    <w:p w14:paraId="7FA6D4DC">
      <w:pPr>
        <w:keepNext w:val="0"/>
        <w:keepLines w:val="0"/>
        <w:pageBreakBefore w:val="0"/>
        <w:widowControl w:val="0"/>
        <w:tabs>
          <w:tab w:val="left" w:pos="945"/>
        </w:tabs>
        <w:kinsoku/>
        <w:wordWrap/>
        <w:overflowPunct/>
        <w:topLinePunct w:val="0"/>
        <w:autoSpaceDE/>
        <w:autoSpaceDN/>
        <w:bidi w:val="0"/>
        <w:adjustRightInd/>
        <w:snapToGrid w:val="0"/>
        <w:spacing w:line="360" w:lineRule="auto"/>
        <w:jc w:val="left"/>
        <w:textAlignment w:val="auto"/>
        <w:rPr>
          <w:rFonts w:hint="eastAsia" w:ascii="宋体" w:hAnsi="宋体" w:cs="Times New Roman"/>
          <w:color w:val="auto"/>
          <w:sz w:val="24"/>
          <w:szCs w:val="24"/>
          <w:highlight w:val="none"/>
          <w:lang w:val="en-US" w:eastAsia="zh-CN"/>
        </w:rPr>
      </w:pPr>
      <w:r>
        <w:rPr>
          <w:rFonts w:hint="eastAsia" w:ascii="宋体" w:hAnsi="宋体" w:eastAsia="宋体" w:cs="Times New Roman"/>
          <w:sz w:val="24"/>
          <w:szCs w:val="24"/>
          <w:highlight w:val="none"/>
          <w:lang w:val="zh-CN"/>
        </w:rPr>
        <w:t>（</w:t>
      </w:r>
      <w:r>
        <w:rPr>
          <w:rFonts w:hint="eastAsia"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zh-CN"/>
        </w:rPr>
        <w:t>）</w:t>
      </w:r>
      <w:r>
        <w:rPr>
          <w:rFonts w:hint="eastAsia" w:ascii="宋体" w:hAnsi="宋体" w:eastAsia="宋体" w:cs="Times New Roman"/>
          <w:sz w:val="24"/>
          <w:szCs w:val="24"/>
          <w:highlight w:val="none"/>
          <w:lang w:val="en-US" w:eastAsia="zh-CN"/>
        </w:rPr>
        <w:t>技术要求</w:t>
      </w:r>
    </w:p>
    <w:p w14:paraId="2665E907">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脱水加药系统采用整体撬装方式供货，以撬块边界外</w:t>
      </w:r>
      <w:r>
        <w:rPr>
          <w:rFonts w:hint="eastAsia" w:ascii="宋体" w:hAnsi="宋体" w:cs="Times New Roman"/>
          <w:b w:val="0"/>
          <w:bCs w:val="0"/>
          <w:color w:val="auto"/>
          <w:sz w:val="24"/>
          <w:szCs w:val="24"/>
          <w:highlight w:val="none"/>
          <w:lang w:val="en-US" w:eastAsia="zh-CN"/>
        </w:rPr>
        <w:t>1</w:t>
      </w:r>
      <w:r>
        <w:rPr>
          <w:rFonts w:hint="eastAsia" w:ascii="宋体" w:hAnsi="宋体" w:eastAsia="宋体" w:cs="Times New Roman"/>
          <w:b w:val="0"/>
          <w:bCs w:val="0"/>
          <w:color w:val="auto"/>
          <w:sz w:val="24"/>
          <w:szCs w:val="24"/>
          <w:highlight w:val="none"/>
          <w:lang w:val="en-US" w:eastAsia="zh-CN"/>
        </w:rPr>
        <w:t>米处</w:t>
      </w:r>
      <w:r>
        <w:rPr>
          <w:rFonts w:hint="eastAsia" w:ascii="宋体" w:hAnsi="宋体" w:cs="Times New Roman"/>
          <w:b w:val="0"/>
          <w:bCs w:val="0"/>
          <w:color w:val="auto"/>
          <w:sz w:val="24"/>
          <w:szCs w:val="24"/>
          <w:highlight w:val="none"/>
          <w:lang w:val="en-US" w:eastAsia="zh-CN"/>
        </w:rPr>
        <w:t>法兰（预留法兰）</w:t>
      </w:r>
      <w:r>
        <w:rPr>
          <w:rFonts w:hint="eastAsia" w:ascii="宋体" w:hAnsi="宋体" w:eastAsia="宋体" w:cs="Times New Roman"/>
          <w:b w:val="0"/>
          <w:bCs w:val="0"/>
          <w:color w:val="auto"/>
          <w:sz w:val="24"/>
          <w:szCs w:val="24"/>
          <w:highlight w:val="none"/>
          <w:lang w:val="en-US" w:eastAsia="zh-CN"/>
        </w:rPr>
        <w:t>为界，撬块内部由供应商进行整体供货，撬块外部</w:t>
      </w:r>
      <w:r>
        <w:rPr>
          <w:rFonts w:hint="eastAsia" w:ascii="宋体" w:hAnsi="宋体" w:cs="Times New Roman"/>
          <w:b w:val="0"/>
          <w:bCs w:val="0"/>
          <w:color w:val="auto"/>
          <w:sz w:val="24"/>
          <w:szCs w:val="24"/>
          <w:highlight w:val="none"/>
          <w:lang w:val="en-US" w:eastAsia="zh-CN"/>
        </w:rPr>
        <w:t>法兰外</w:t>
      </w:r>
      <w:r>
        <w:rPr>
          <w:rFonts w:hint="eastAsia" w:ascii="宋体" w:hAnsi="宋体" w:eastAsia="宋体" w:cs="Times New Roman"/>
          <w:b w:val="0"/>
          <w:bCs w:val="0"/>
          <w:color w:val="auto"/>
          <w:sz w:val="24"/>
          <w:szCs w:val="24"/>
          <w:highlight w:val="none"/>
          <w:lang w:val="en-US" w:eastAsia="zh-CN"/>
        </w:rPr>
        <w:t>由施工单位负责。尾水加药系统以加药泵及加药箱单体形式供货。</w:t>
      </w:r>
      <w:r>
        <w:rPr>
          <w:rFonts w:hint="eastAsia" w:ascii="宋体" w:hAnsi="宋体" w:eastAsia="宋体" w:cs="Times New Roman"/>
          <w:b w:val="0"/>
          <w:bCs w:val="0"/>
          <w:color w:val="auto"/>
          <w:sz w:val="24"/>
          <w:szCs w:val="24"/>
          <w:highlight w:val="none"/>
        </w:rPr>
        <w:t>中标人</w:t>
      </w:r>
      <w:r>
        <w:rPr>
          <w:rFonts w:hint="eastAsia" w:ascii="宋体" w:hAnsi="宋体" w:eastAsia="宋体" w:cs="Times New Roman"/>
          <w:b w:val="0"/>
          <w:bCs w:val="0"/>
          <w:color w:val="auto"/>
          <w:sz w:val="24"/>
          <w:szCs w:val="24"/>
          <w:highlight w:val="none"/>
          <w:lang w:val="en-US" w:eastAsia="zh-CN"/>
        </w:rPr>
        <w:t>需</w:t>
      </w:r>
      <w:r>
        <w:rPr>
          <w:rFonts w:hint="eastAsia" w:ascii="宋体" w:hAnsi="宋体" w:eastAsia="宋体" w:cs="Times New Roman"/>
          <w:b w:val="0"/>
          <w:bCs w:val="0"/>
          <w:color w:val="auto"/>
          <w:sz w:val="24"/>
          <w:szCs w:val="24"/>
          <w:highlight w:val="none"/>
        </w:rPr>
        <w:t>进行深化设计，图纸报甲方审定后方可制作，深化设计需满足设计参数要求与甲方实际现场使用，结算价不变。</w:t>
      </w:r>
    </w:p>
    <w:p w14:paraId="15D6C981">
      <w:pPr>
        <w:keepNext w:val="0"/>
        <w:keepLines w:val="0"/>
        <w:pageBreakBefore w:val="0"/>
        <w:widowControl w:val="0"/>
        <w:numPr>
          <w:ilvl w:val="0"/>
          <w:numId w:val="22"/>
        </w:numPr>
        <w:kinsoku/>
        <w:wordWrap/>
        <w:overflowPunct/>
        <w:topLinePunct w:val="0"/>
        <w:autoSpaceDE/>
        <w:autoSpaceDN/>
        <w:bidi w:val="0"/>
        <w:adjustRightInd/>
        <w:snapToGrid w:val="0"/>
        <w:spacing w:line="360" w:lineRule="auto"/>
        <w:textAlignment w:val="auto"/>
        <w:rPr>
          <w:rFonts w:hint="eastAsia" w:ascii="宋体" w:hAnsi="宋体" w:eastAsia="宋体" w:cs="宋体"/>
          <w:b/>
          <w:bCs/>
          <w:spacing w:val="-2"/>
          <w:kern w:val="2"/>
          <w:sz w:val="24"/>
          <w:szCs w:val="24"/>
          <w:highlight w:val="none"/>
          <w:lang w:val="en-US" w:eastAsia="zh-CN" w:bidi="ar-SA"/>
        </w:rPr>
      </w:pPr>
      <w:r>
        <w:rPr>
          <w:rFonts w:hint="eastAsia" w:ascii="宋体" w:hAnsi="宋体" w:eastAsia="宋体" w:cs="宋体"/>
          <w:b/>
          <w:bCs/>
          <w:spacing w:val="-2"/>
          <w:kern w:val="2"/>
          <w:sz w:val="24"/>
          <w:szCs w:val="24"/>
          <w:highlight w:val="none"/>
          <w:lang w:val="en-US" w:eastAsia="zh-CN" w:bidi="ar-SA"/>
        </w:rPr>
        <w:t>脱水加药系统</w:t>
      </w:r>
    </w:p>
    <w:p w14:paraId="2EC53B9F">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highlight w:val="none"/>
          <w:lang w:val="en-US" w:eastAsia="zh-CN" w:bidi="ar"/>
        </w:rPr>
        <w:t>本系统为成套供货及调试项目，投标人需提供完整的脱水加药系统，确保各设备、部件匹配兼容，系统运行稳定可靠。</w:t>
      </w:r>
      <w:r>
        <w:rPr>
          <w:rFonts w:ascii="Segoe UI" w:hAnsi="Segoe UI" w:eastAsia="Segoe UI" w:cs="Segoe UI"/>
          <w:i w:val="0"/>
          <w:iCs w:val="0"/>
          <w:caps w:val="0"/>
          <w:color w:val="0F1115"/>
          <w:spacing w:val="0"/>
          <w:sz w:val="24"/>
          <w:szCs w:val="24"/>
          <w:highlight w:val="none"/>
          <w:shd w:val="clear" w:fill="FFFFFF"/>
        </w:rPr>
        <w:t>采用具备自动配比功能的加药系统。其加药箱单元能根据工艺设定的浓度，全自动完成原药的精确计量、定比例稀释与均匀搅拌，形成稳定的工作药液，并可根据进水流量</w:t>
      </w:r>
      <w:r>
        <w:rPr>
          <w:rFonts w:ascii="Segoe UI" w:hAnsi="Segoe UI" w:eastAsia="Segoe UI" w:cs="Segoe UI"/>
          <w:i w:val="0"/>
          <w:iCs w:val="0"/>
          <w:caps w:val="0"/>
          <w:color w:val="0F1115"/>
          <w:spacing w:val="0"/>
          <w:sz w:val="24"/>
          <w:szCs w:val="24"/>
          <w:shd w:val="clear" w:fill="FFFFFF"/>
        </w:rPr>
        <w:t>实现加药量的比例调节，确保工艺效果的最佳化与药剂消耗的经济性。</w:t>
      </w:r>
      <w:r>
        <w:rPr>
          <w:rFonts w:ascii="宋体" w:hAnsi="宋体" w:eastAsia="宋体" w:cs="宋体"/>
          <w:kern w:val="0"/>
          <w:sz w:val="24"/>
          <w:szCs w:val="24"/>
          <w:lang w:val="en-US" w:eastAsia="zh-CN" w:bidi="ar"/>
        </w:rPr>
        <w:t>系统需实现自动化控制，具备</w:t>
      </w:r>
      <w:r>
        <w:rPr>
          <w:rFonts w:hint="eastAsia" w:ascii="宋体" w:hAnsi="宋体" w:eastAsia="宋体" w:cs="宋体"/>
          <w:kern w:val="0"/>
          <w:sz w:val="24"/>
          <w:szCs w:val="24"/>
          <w:lang w:val="en-US" w:eastAsia="zh-CN" w:bidi="ar"/>
        </w:rPr>
        <w:t>根据设定好的比例，自动配置药剂；</w:t>
      </w:r>
      <w:r>
        <w:rPr>
          <w:rFonts w:ascii="宋体" w:hAnsi="宋体" w:eastAsia="宋体" w:cs="宋体"/>
          <w:kern w:val="0"/>
          <w:sz w:val="24"/>
          <w:szCs w:val="24"/>
          <w:lang w:val="en-US" w:eastAsia="zh-CN" w:bidi="ar"/>
        </w:rPr>
        <w:t>药量调节、故障报警、过载保护等功能。</w:t>
      </w:r>
    </w:p>
    <w:p w14:paraId="10E238E4">
      <w:pPr>
        <w:pageBreakBefore w:val="0"/>
        <w:kinsoku/>
        <w:wordWrap/>
        <w:overflowPunct/>
        <w:topLinePunct w:val="0"/>
        <w:autoSpaceDE w:val="0"/>
        <w:autoSpaceDN w:val="0"/>
        <w:bidi w:val="0"/>
        <w:adjustRightInd w:val="0"/>
        <w:snapToGrid w:val="0"/>
        <w:spacing w:line="360" w:lineRule="auto"/>
        <w:ind w:firstLine="480" w:firstLineChars="200"/>
        <w:jc w:val="left"/>
        <w:rPr>
          <w:rFonts w:hint="default" w:ascii="宋体" w:hAnsi="Calibri" w:eastAsia="宋体" w:cs="宋体"/>
          <w:sz w:val="24"/>
          <w:szCs w:val="24"/>
          <w:lang w:val="en-US" w:eastAsia="zh-CN"/>
        </w:rPr>
      </w:pPr>
      <w:r>
        <w:rPr>
          <w:rFonts w:hint="eastAsia" w:ascii="宋体" w:hAnsi="宋体" w:eastAsia="宋体" w:cs="宋体"/>
          <w:kern w:val="0"/>
          <w:sz w:val="24"/>
          <w:szCs w:val="24"/>
          <w:lang w:val="en-US" w:eastAsia="zh-CN" w:bidi="ar"/>
        </w:rPr>
        <w:t>正常情况下，通过脱水加药泵（卧式螺杆泵）向离心脱水机添加药剂。当离心脱水机出现故障时，则启动叠螺脱水机，并使用叠螺脱水加药泵（隔膜计量泵）向叠螺脱水机添加药剂。 供应商在制作时需考虑两套系统，脱水加药泵的控制由离心脱水机配套控制柜控制，供应商预留接线</w:t>
      </w:r>
      <w:r>
        <w:rPr>
          <w:rFonts w:hint="eastAsia" w:ascii="宋体" w:hAnsi="宋体" w:cs="宋体"/>
          <w:kern w:val="0"/>
          <w:sz w:val="24"/>
          <w:szCs w:val="24"/>
          <w:lang w:val="en-US" w:eastAsia="zh-CN" w:bidi="ar"/>
        </w:rPr>
        <w:t>并</w:t>
      </w:r>
      <w:r>
        <w:rPr>
          <w:rFonts w:hint="eastAsia" w:ascii="宋体" w:hAnsi="宋体" w:eastAsia="宋体" w:cs="宋体"/>
          <w:kern w:val="0"/>
          <w:sz w:val="24"/>
          <w:szCs w:val="24"/>
          <w:lang w:val="en-US" w:eastAsia="zh-CN" w:bidi="ar"/>
        </w:rPr>
        <w:t>负责指导</w:t>
      </w:r>
      <w:r>
        <w:rPr>
          <w:rFonts w:hint="eastAsia" w:ascii="宋体" w:hAnsi="宋体" w:cs="宋体"/>
          <w:kern w:val="0"/>
          <w:sz w:val="24"/>
          <w:szCs w:val="24"/>
          <w:lang w:val="en-US" w:eastAsia="zh-CN" w:bidi="ar"/>
        </w:rPr>
        <w:t>接线工作</w:t>
      </w:r>
      <w:r>
        <w:rPr>
          <w:rFonts w:hint="eastAsia" w:ascii="宋体" w:hAnsi="宋体" w:eastAsia="宋体" w:cs="宋体"/>
          <w:kern w:val="0"/>
          <w:sz w:val="24"/>
          <w:szCs w:val="24"/>
          <w:lang w:val="en-US" w:eastAsia="zh-CN" w:bidi="ar"/>
        </w:rPr>
        <w:t>；叠螺脱水加药泵的控制由叠螺脱水机配套控制柜控制，</w:t>
      </w:r>
      <w:r>
        <w:rPr>
          <w:rFonts w:hint="eastAsia" w:ascii="宋体" w:hAnsi="宋体" w:cs="宋体"/>
          <w:color w:val="000000"/>
          <w:kern w:val="0"/>
          <w:sz w:val="24"/>
          <w:szCs w:val="24"/>
          <w:lang w:bidi="ar"/>
        </w:rPr>
        <w:t>设有设备起动、停机按钮；运行、停机事故信号灯，信号灯采用节能型；就地</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远程控制选择开关及急停按钮，在电控箱内设有电动机保护器、辅助继电器、</w:t>
      </w:r>
      <w:r>
        <w:rPr>
          <w:rFonts w:ascii="宋体" w:hAnsi="宋体" w:cs="宋体"/>
          <w:color w:val="000000"/>
          <w:kern w:val="0"/>
          <w:sz w:val="24"/>
          <w:szCs w:val="24"/>
          <w:lang w:bidi="ar"/>
        </w:rPr>
        <w:t xml:space="preserve"> PLC</w:t>
      </w:r>
      <w:r>
        <w:rPr>
          <w:rFonts w:hint="eastAsia" w:ascii="宋体" w:hAnsi="宋体" w:cs="宋体"/>
          <w:color w:val="000000"/>
          <w:kern w:val="0"/>
          <w:sz w:val="24"/>
          <w:szCs w:val="24"/>
          <w:lang w:bidi="ar"/>
        </w:rPr>
        <w:t>控制的输入接口、输出给</w:t>
      </w:r>
      <w:r>
        <w:rPr>
          <w:rFonts w:ascii="宋体" w:hAnsi="宋体" w:cs="宋体"/>
          <w:color w:val="000000"/>
          <w:kern w:val="0"/>
          <w:sz w:val="24"/>
          <w:szCs w:val="24"/>
          <w:lang w:bidi="ar"/>
        </w:rPr>
        <w:t xml:space="preserve"> PLC </w:t>
      </w:r>
      <w:r>
        <w:rPr>
          <w:rFonts w:hint="eastAsia" w:ascii="宋体" w:hAnsi="宋体" w:cs="宋体"/>
          <w:color w:val="000000"/>
          <w:kern w:val="0"/>
          <w:sz w:val="24"/>
          <w:szCs w:val="24"/>
          <w:lang w:bidi="ar"/>
        </w:rPr>
        <w:t>的运行、自动、事故状态信号的接口。</w:t>
      </w:r>
      <w:r>
        <w:rPr>
          <w:rFonts w:hint="eastAsia" w:ascii="宋体" w:hAnsi="宋体" w:cs="宋体"/>
          <w:spacing w:val="3"/>
          <w:sz w:val="24"/>
          <w:szCs w:val="24"/>
        </w:rPr>
        <w:t>变频器需选用功率略大于电机功率，推荐品牌为：</w:t>
      </w:r>
      <w:r>
        <w:rPr>
          <w:rFonts w:hint="eastAsia" w:ascii="宋体" w:hAnsi="宋体" w:cs="宋体"/>
          <w:spacing w:val="2"/>
          <w:sz w:val="24"/>
          <w:szCs w:val="24"/>
        </w:rPr>
        <w:t>施</w:t>
      </w:r>
      <w:r>
        <w:rPr>
          <w:rFonts w:hint="eastAsia" w:ascii="宋体" w:hAnsi="宋体" w:cs="宋体"/>
          <w:spacing w:val="-1"/>
          <w:sz w:val="24"/>
          <w:szCs w:val="24"/>
        </w:rPr>
        <w:t>耐德、ABB、西门子。</w:t>
      </w:r>
      <w:r>
        <w:rPr>
          <w:rFonts w:hint="eastAsia" w:ascii="宋体" w:hAnsi="宋体" w:cs="宋体"/>
          <w:color w:val="000000"/>
          <w:kern w:val="0"/>
          <w:sz w:val="24"/>
          <w:szCs w:val="24"/>
          <w:highlight w:val="none"/>
          <w:lang w:val="en-US" w:eastAsia="zh-CN" w:bidi="ar"/>
        </w:rPr>
        <w:t>柜内主要电气元器件采用施耐德、西门子、ABB品牌；若</w:t>
      </w:r>
      <w:r>
        <w:rPr>
          <w:rFonts w:hint="eastAsia" w:ascii="宋体" w:hAnsi="宋体" w:eastAsia="宋体" w:cs="宋体"/>
          <w:kern w:val="2"/>
          <w:sz w:val="24"/>
          <w:szCs w:val="24"/>
          <w:highlight w:val="none"/>
          <w:lang w:val="en-US" w:eastAsia="zh-CN" w:bidi="ar-SA"/>
        </w:rPr>
        <w:t>涉及</w:t>
      </w:r>
      <w:r>
        <w:rPr>
          <w:rFonts w:hint="eastAsia" w:ascii="宋体" w:hAnsi="宋体" w:eastAsia="宋体" w:cs="宋体"/>
          <w:bCs/>
          <w:sz w:val="24"/>
          <w:szCs w:val="24"/>
          <w:highlight w:val="none"/>
          <w:lang w:val="en-US" w:eastAsia="zh-CN"/>
        </w:rPr>
        <w:t>ABB、施耐德、西门子品牌的产品，其电气元器件必须从这些品牌中选用，其他元器件及附件则需采用国内知名品牌；PLC模块需采用西门子、施耐德、ABB品牌；电线线缆需采用远东、上上、江南、中超、新远程。</w:t>
      </w:r>
    </w:p>
    <w:p w14:paraId="0C6026DF">
      <w:pPr>
        <w:keepNext w:val="0"/>
        <w:keepLines w:val="0"/>
        <w:pageBreakBefore w:val="0"/>
        <w:widowControl w:val="0"/>
        <w:tabs>
          <w:tab w:val="left" w:pos="945"/>
        </w:tabs>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1</w:t>
      </w:r>
      <w:r>
        <w:rPr>
          <w:rFonts w:hint="eastAsia" w:ascii="宋体" w:hAnsi="宋体" w:eastAsia="宋体" w:cs="Times New Roman"/>
          <w:b/>
          <w:bCs/>
          <w:color w:val="auto"/>
          <w:sz w:val="24"/>
          <w:szCs w:val="24"/>
          <w:lang w:eastAsia="zh-CN"/>
        </w:rPr>
        <w:t>）</w:t>
      </w:r>
      <w:r>
        <w:rPr>
          <w:rFonts w:hint="eastAsia" w:ascii="宋体" w:hAnsi="宋体" w:eastAsia="宋体" w:cs="宋体"/>
          <w:b/>
          <w:bCs/>
          <w:spacing w:val="-2"/>
          <w:kern w:val="2"/>
          <w:sz w:val="24"/>
          <w:szCs w:val="24"/>
          <w:highlight w:val="none"/>
          <w:lang w:val="en-US" w:eastAsia="zh-CN" w:bidi="ar-SA"/>
        </w:rPr>
        <w:t>加药箱</w:t>
      </w:r>
    </w:p>
    <w:p w14:paraId="16E7CF36">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本脱水加药箱型号</w:t>
      </w:r>
      <w:r>
        <w:rPr>
          <w:rFonts w:hint="eastAsia" w:ascii="宋体" w:hAnsi="宋体" w:eastAsia="宋体" w:cs="宋体"/>
          <w:kern w:val="0"/>
          <w:sz w:val="24"/>
          <w:szCs w:val="24"/>
          <w:lang w:val="en-US" w:eastAsia="zh-CN" w:bidi="ar"/>
        </w:rPr>
        <w:t>为</w:t>
      </w:r>
      <w:r>
        <w:rPr>
          <w:rFonts w:ascii="宋体" w:hAnsi="宋体" w:eastAsia="宋体" w:cs="宋体"/>
          <w:kern w:val="0"/>
          <w:sz w:val="24"/>
          <w:szCs w:val="24"/>
          <w:lang w:val="en-US" w:eastAsia="zh-CN" w:bidi="ar"/>
        </w:rPr>
        <w:t>3000型</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采用A304不锈钢材质制作箱体</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具备优良耐腐蚀性、抗氧化性及机械强度</w:t>
      </w:r>
      <w:r>
        <w:rPr>
          <w:rFonts w:hint="eastAsia" w:ascii="宋体" w:hAnsi="宋体" w:eastAsia="宋体" w:cs="宋体"/>
          <w:kern w:val="0"/>
          <w:sz w:val="24"/>
          <w:szCs w:val="24"/>
          <w:lang w:val="en-US" w:eastAsia="zh-CN" w:bidi="ar"/>
        </w:rPr>
        <w:t>。能</w:t>
      </w:r>
      <w:r>
        <w:rPr>
          <w:rFonts w:ascii="宋体" w:hAnsi="宋体" w:eastAsia="宋体" w:cs="宋体"/>
          <w:kern w:val="0"/>
          <w:sz w:val="24"/>
          <w:szCs w:val="24"/>
          <w:lang w:val="en-US" w:eastAsia="zh-CN" w:bidi="ar"/>
        </w:rPr>
        <w:t>实现药剂的储存、搅拌及精准投加功能，为脱水工艺的稳定运行提供药剂保障。设备整体设计合理，性能可靠，配备自带控制箱，可实现自动化操作，减少人工干预，提高作业效率。</w:t>
      </w:r>
    </w:p>
    <w:p w14:paraId="00CC8CFE">
      <w:pPr>
        <w:pageBreakBefore w:val="0"/>
        <w:kinsoku/>
        <w:wordWrap/>
        <w:overflowPunct/>
        <w:topLinePunct w:val="0"/>
        <w:autoSpaceDE w:val="0"/>
        <w:autoSpaceDN w:val="0"/>
        <w:bidi w:val="0"/>
        <w:adjustRightInd w:val="0"/>
        <w:snapToGrid w:val="0"/>
        <w:spacing w:line="360" w:lineRule="auto"/>
        <w:ind w:firstLine="480" w:firstLineChars="200"/>
        <w:jc w:val="left"/>
        <w:rPr>
          <w:rFonts w:hint="default" w:ascii="宋体" w:hAnsi="宋体" w:eastAsia="宋体" w:cs="宋体"/>
          <w:kern w:val="0"/>
          <w:sz w:val="24"/>
          <w:szCs w:val="24"/>
          <w:lang w:val="en-US" w:eastAsia="zh-CN" w:bidi="ar"/>
        </w:rPr>
      </w:pPr>
      <w:r>
        <w:rPr>
          <w:rFonts w:ascii="Segoe UI" w:hAnsi="Segoe UI" w:eastAsia="Segoe UI" w:cs="Segoe UI"/>
          <w:i w:val="0"/>
          <w:iCs w:val="0"/>
          <w:caps w:val="0"/>
          <w:color w:val="0F1115"/>
          <w:spacing w:val="0"/>
          <w:sz w:val="24"/>
          <w:szCs w:val="24"/>
          <w:shd w:val="clear" w:fill="FFFFFF"/>
        </w:rPr>
        <w:t>本系统的加药箱并非简单的储药容器，而是一个</w:t>
      </w:r>
      <w:r>
        <w:rPr>
          <w:rFonts w:hint="default" w:ascii="Segoe UI" w:hAnsi="Segoe UI" w:eastAsia="Segoe UI" w:cs="Segoe UI"/>
          <w:b/>
          <w:bCs/>
          <w:i w:val="0"/>
          <w:iCs w:val="0"/>
          <w:caps w:val="0"/>
          <w:color w:val="0F1115"/>
          <w:spacing w:val="0"/>
          <w:sz w:val="24"/>
          <w:szCs w:val="24"/>
          <w:shd w:val="clear" w:fill="FFFFFF"/>
        </w:rPr>
        <w:t>集成式自动配药与搅拌单元</w:t>
      </w:r>
      <w:r>
        <w:rPr>
          <w:rFonts w:hint="default" w:ascii="Segoe UI" w:hAnsi="Segoe UI" w:eastAsia="Segoe UI" w:cs="Segoe UI"/>
          <w:i w:val="0"/>
          <w:iCs w:val="0"/>
          <w:caps w:val="0"/>
          <w:color w:val="0F1115"/>
          <w:spacing w:val="0"/>
          <w:sz w:val="24"/>
          <w:szCs w:val="24"/>
          <w:shd w:val="clear" w:fill="FFFFFF"/>
        </w:rPr>
        <w:t>。其核心功能是自动完成从高浓度原药到可直接投用工作液的精确制备过程。</w:t>
      </w:r>
      <w:r>
        <w:rPr>
          <w:rFonts w:hint="eastAsia" w:ascii="Segoe UI" w:hAnsi="Segoe UI" w:eastAsia="宋体" w:cs="Segoe UI"/>
          <w:i w:val="0"/>
          <w:iCs w:val="0"/>
          <w:caps w:val="0"/>
          <w:color w:val="0F1115"/>
          <w:spacing w:val="0"/>
          <w:sz w:val="24"/>
          <w:szCs w:val="24"/>
          <w:shd w:val="clear" w:fill="FFFFFF"/>
          <w:lang w:val="en-US" w:eastAsia="zh-CN"/>
        </w:rPr>
        <w:t>包含但不限于</w:t>
      </w:r>
      <w:r>
        <w:rPr>
          <w:rFonts w:hint="default" w:ascii="Segoe UI" w:hAnsi="Segoe UI" w:eastAsia="Segoe UI" w:cs="Segoe UI"/>
          <w:i w:val="0"/>
          <w:iCs w:val="0"/>
          <w:caps w:val="0"/>
          <w:color w:val="0F1115"/>
          <w:spacing w:val="0"/>
          <w:sz w:val="24"/>
          <w:szCs w:val="24"/>
          <w:shd w:val="clear" w:fill="FFFFFF"/>
        </w:rPr>
        <w:t>原药储罐/料仓</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稀释水进水单元、混合搅拌箱（即加药箱）、液位控制系统、智能控制系统（PLC）。当工作药箱液位低于低液位设定值时，系统自动启动配药程序。控制器打开稀释水进水阀，按预设时间或通过流量计定量注入所需水量。配比的关键在于控制器对“进水”和“加药”两个动作的精确联动与控制。搅拌器自动启动，将原药与水充分混合，形成均匀的工作液。达到高液位后，停止所有动作，配药完成，系统进入待机状态，准备向投加点输送药液。具备防干抽、防溢流、故障报警（如缺药、堵管）功能。用户可通过人机界面（HMI）轻松设定和修改所需的最终工作液浓度。可记录配药次数、耗药量、耗水量等数据，便于管理与成本核算。</w:t>
      </w:r>
    </w:p>
    <w:p w14:paraId="3CE70630">
      <w:pPr>
        <w:pageBreakBefore w:val="0"/>
        <w:kinsoku/>
        <w:wordWrap/>
        <w:overflowPunct/>
        <w:topLinePunct w:val="0"/>
        <w:autoSpaceDE w:val="0"/>
        <w:autoSpaceDN w:val="0"/>
        <w:bidi w:val="0"/>
        <w:adjustRightInd w:val="0"/>
        <w:snapToGrid w:val="0"/>
        <w:spacing w:line="360" w:lineRule="auto"/>
        <w:ind w:firstLine="480" w:firstLineChars="200"/>
        <w:jc w:val="left"/>
        <w:rPr>
          <w:rFonts w:hint="default" w:ascii="宋体" w:hAnsi="Calibri" w:eastAsia="宋体" w:cs="宋体"/>
          <w:sz w:val="24"/>
          <w:szCs w:val="24"/>
          <w:lang w:val="en-US" w:eastAsia="zh-CN"/>
        </w:rPr>
      </w:pPr>
      <w:r>
        <w:rPr>
          <w:rFonts w:ascii="宋体" w:hAnsi="宋体" w:eastAsia="宋体" w:cs="宋体"/>
          <w:kern w:val="0"/>
          <w:sz w:val="24"/>
          <w:szCs w:val="24"/>
          <w:lang w:val="en-US" w:eastAsia="zh-CN" w:bidi="ar"/>
        </w:rPr>
        <w:t>本次供货数量为2套，满足相关生产及处理系统的配套使用需求。控制箱与箱体进行一体化设计，控制箱安装位置便于操作和观察，内部配置优质电气元件（如接触器、</w:t>
      </w:r>
      <w:r>
        <w:rPr>
          <w:rFonts w:hint="eastAsia" w:ascii="宋体" w:hAnsi="宋体" w:eastAsia="宋体" w:cs="宋体"/>
          <w:kern w:val="0"/>
          <w:sz w:val="24"/>
          <w:szCs w:val="24"/>
          <w:lang w:val="en-US" w:eastAsia="zh-CN" w:bidi="ar"/>
        </w:rPr>
        <w:t>断路器、</w:t>
      </w:r>
      <w:r>
        <w:rPr>
          <w:rFonts w:ascii="宋体" w:hAnsi="宋体" w:eastAsia="宋体" w:cs="宋体"/>
          <w:kern w:val="0"/>
          <w:sz w:val="24"/>
          <w:szCs w:val="24"/>
          <w:lang w:val="en-US" w:eastAsia="zh-CN" w:bidi="ar"/>
        </w:rPr>
        <w:t>变频器</w:t>
      </w:r>
      <w:r>
        <w:rPr>
          <w:rFonts w:hint="eastAsia" w:ascii="宋体" w:hAnsi="宋体" w:eastAsia="宋体" w:cs="宋体"/>
          <w:kern w:val="0"/>
          <w:sz w:val="24"/>
          <w:szCs w:val="24"/>
          <w:lang w:val="en-US" w:eastAsia="zh-CN" w:bidi="ar"/>
        </w:rPr>
        <w:t>等</w:t>
      </w:r>
      <w:r>
        <w:rPr>
          <w:rFonts w:ascii="宋体" w:hAnsi="宋体" w:eastAsia="宋体" w:cs="宋体"/>
          <w:kern w:val="0"/>
          <w:sz w:val="24"/>
          <w:szCs w:val="24"/>
          <w:lang w:val="en-US" w:eastAsia="zh-CN" w:bidi="ar"/>
        </w:rPr>
        <w:t>，具体以实际配置为准），支持自动化控制，含加药启停、药量无级调节、过载/短路/缺相保护、故障声光报警功能，控制箱防护等级不低于IP54，适应工业现场潮湿、多尘环境</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同时具备过载、短路、缺相保护及故障报警功能，保障设备安全稳定运行。</w:t>
      </w:r>
    </w:p>
    <w:p w14:paraId="7210577B">
      <w:pPr>
        <w:keepNext w:val="0"/>
        <w:keepLines w:val="0"/>
        <w:pageBreakBefore w:val="0"/>
        <w:widowControl/>
        <w:suppressLineNumbers w:val="0"/>
        <w:kinsoku/>
        <w:wordWrap/>
        <w:overflowPunct/>
        <w:topLinePunct w:val="0"/>
        <w:autoSpaceDE/>
        <w:autoSpaceDN/>
        <w:bidi w:val="0"/>
        <w:adjustRightInd/>
        <w:spacing w:line="360" w:lineRule="auto"/>
        <w:ind w:firstLine="420" w:firstLine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箱体</w:t>
      </w:r>
      <w:r>
        <w:rPr>
          <w:rFonts w:hint="eastAsia" w:ascii="宋体" w:hAnsi="宋体" w:eastAsia="宋体" w:cs="宋体"/>
          <w:kern w:val="0"/>
          <w:sz w:val="24"/>
          <w:szCs w:val="24"/>
          <w:lang w:val="en-US" w:eastAsia="zh-CN" w:bidi="ar"/>
        </w:rPr>
        <w:t>外</w:t>
      </w:r>
      <w:r>
        <w:rPr>
          <w:rFonts w:ascii="宋体" w:hAnsi="宋体" w:eastAsia="宋体" w:cs="宋体"/>
          <w:kern w:val="0"/>
          <w:sz w:val="24"/>
          <w:szCs w:val="24"/>
          <w:lang w:val="en-US" w:eastAsia="zh-CN" w:bidi="ar"/>
        </w:rPr>
        <w:t>侧</w:t>
      </w:r>
      <w:r>
        <w:rPr>
          <w:rFonts w:hint="eastAsia" w:ascii="宋体" w:hAnsi="宋体" w:eastAsia="宋体" w:cs="宋体"/>
          <w:kern w:val="0"/>
          <w:sz w:val="24"/>
          <w:szCs w:val="24"/>
          <w:lang w:val="en-US" w:eastAsia="zh-CN" w:bidi="ar"/>
        </w:rPr>
        <w:t>需</w:t>
      </w:r>
      <w:r>
        <w:rPr>
          <w:rFonts w:ascii="宋体" w:hAnsi="宋体" w:eastAsia="宋体" w:cs="宋体"/>
          <w:kern w:val="0"/>
          <w:sz w:val="24"/>
          <w:szCs w:val="24"/>
          <w:lang w:val="en-US" w:eastAsia="zh-CN" w:bidi="ar"/>
        </w:rPr>
        <w:t>设有液位计</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箱体底部设有排污口，便于定期清理箱内残渣及废液，防止堵塞；顶部设有进料口及透气孔，进料口配备密封盖，防止灰尘、杂质进入，透气孔可平衡箱体内外气压，避免箱体因压力变化变形。</w:t>
      </w:r>
    </w:p>
    <w:p w14:paraId="770B059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（2）加药管及相关配件</w:t>
      </w:r>
    </w:p>
    <w:p w14:paraId="0112258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ascii="Calibri" w:hAnsi="Calibri"/>
          <w:szCs w:val="24"/>
        </w:rPr>
      </w:pPr>
      <w:r>
        <w:rPr>
          <w:rFonts w:hint="eastAsia" w:ascii="宋体" w:hAnsi="宋体" w:eastAsia="宋体" w:cs="宋体"/>
          <w:kern w:val="0"/>
          <w:sz w:val="24"/>
          <w:szCs w:val="24"/>
          <w:lang w:val="en-US" w:eastAsia="zh-CN" w:bidi="ar"/>
        </w:rPr>
        <w:t>选用</w:t>
      </w:r>
      <w:r>
        <w:rPr>
          <w:rFonts w:ascii="宋体" w:hAnsi="宋体" w:eastAsia="宋体" w:cs="宋体"/>
          <w:kern w:val="0"/>
          <w:sz w:val="24"/>
          <w:szCs w:val="24"/>
          <w:lang w:val="en-US" w:eastAsia="zh-CN" w:bidi="ar"/>
        </w:rPr>
        <w:t>工业级UPVC，公称压力≥1.0MPa，规格适配系统流量及压力要求，具备耐酸碱、抗老化、抗冲击性能，管材符合GB/T 10002.1标准。包含但不限于：球阀、安全阀（起跳压力适配系统）、背压阀、Y型过滤器（过滤精度≤50μm）、阻尼器、压力表（量程0-1.0MPa）、弯头、三通、法兰、密封垫片等；</w:t>
      </w:r>
      <w:r>
        <w:rPr>
          <w:rFonts w:hint="eastAsia" w:ascii="宋体" w:hAnsi="宋体" w:eastAsia="宋体" w:cs="宋体"/>
          <w:kern w:val="0"/>
          <w:sz w:val="24"/>
          <w:szCs w:val="24"/>
          <w:lang w:val="en-US" w:eastAsia="zh-CN" w:bidi="ar"/>
        </w:rPr>
        <w:t>需</w:t>
      </w:r>
      <w:r>
        <w:rPr>
          <w:rFonts w:ascii="宋体" w:hAnsi="宋体" w:eastAsia="宋体" w:cs="宋体"/>
          <w:kern w:val="0"/>
          <w:sz w:val="24"/>
          <w:szCs w:val="24"/>
          <w:lang w:val="en-US" w:eastAsia="zh-CN" w:bidi="ar"/>
        </w:rPr>
        <w:t>精准适配加药管及泵体接口，密封性能优良，安装后无渗漏，配件数量满足系统完整连接及后期维护需求。配件需一次性配齐，不得遗漏，提供配件清单及合格证</w:t>
      </w:r>
      <w:r>
        <w:rPr>
          <w:rFonts w:hint="eastAsia" w:ascii="宋体" w:hAnsi="宋体" w:eastAsia="宋体" w:cs="宋体"/>
          <w:kern w:val="0"/>
          <w:sz w:val="24"/>
          <w:szCs w:val="24"/>
          <w:lang w:val="en-US" w:eastAsia="zh-CN" w:bidi="ar"/>
        </w:rPr>
        <w:t>。</w:t>
      </w:r>
    </w:p>
    <w:p w14:paraId="2C913B9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2、尾水加药系统加药箱</w:t>
      </w:r>
    </w:p>
    <w:p w14:paraId="37CDF3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Times New Roman"/>
          <w:sz w:val="21"/>
          <w:szCs w:val="21"/>
          <w:lang w:val="en-US" w:eastAsia="zh-CN"/>
        </w:rPr>
      </w:pPr>
      <w:r>
        <w:rPr>
          <w:rFonts w:hint="eastAsia" w:ascii="宋体" w:hAnsi="宋体" w:eastAsia="宋体" w:cs="宋体"/>
          <w:kern w:val="0"/>
          <w:sz w:val="24"/>
          <w:szCs w:val="24"/>
          <w:lang w:val="en-US" w:eastAsia="zh-CN" w:bidi="ar"/>
        </w:rPr>
        <w:t>尾水加药箱外形尺寸为：3×5×2.2m，采用PP材质制作箱体</w:t>
      </w:r>
      <w:r>
        <w:rPr>
          <w:rFonts w:ascii="宋体" w:hAnsi="宋体" w:eastAsia="宋体" w:cs="宋体"/>
          <w:kern w:val="0"/>
          <w:sz w:val="24"/>
          <w:szCs w:val="24"/>
          <w:lang w:val="en-US" w:eastAsia="zh-CN" w:bidi="ar"/>
        </w:rPr>
        <w:t>，PP板厚度不低于20mm，</w:t>
      </w:r>
      <w:r>
        <w:rPr>
          <w:rFonts w:hint="eastAsia" w:ascii="宋体" w:hAnsi="宋体" w:eastAsia="宋体" w:cs="宋体"/>
          <w:kern w:val="0"/>
          <w:sz w:val="24"/>
          <w:szCs w:val="24"/>
          <w:lang w:val="en-US" w:eastAsia="zh-CN" w:bidi="ar"/>
        </w:rPr>
        <w:t>具体见附件图纸，</w:t>
      </w:r>
      <w:r>
        <w:rPr>
          <w:rFonts w:ascii="宋体" w:hAnsi="宋体" w:eastAsia="宋体" w:cs="宋体"/>
          <w:kern w:val="0"/>
          <w:sz w:val="24"/>
          <w:szCs w:val="24"/>
          <w:lang w:val="en-US" w:eastAsia="zh-CN" w:bidi="ar"/>
        </w:rPr>
        <w:t>具备优良耐酸碱腐蚀性、抗老化性，适配尾水处理各类药剂（絮凝剂、助凝剂等）</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配套结构：① 搅拌装置：搅拌轴和桨叶采用304不锈钢材质，桨叶为双层桨叶式，机架采用槽钢焊接形式，确保搅拌均匀、运行稳定；② 检修口：顶部设置1个600×600mm检修口，便于内部检修及清理；③ 进出口：出水口配置PP63法兰，四面设置导流板，优化药剂混合效果；④ 辅助接口：配置液位计、底部排污口（带PP材质阀门）、顶部进料口（带密封盖）及透气孔，箱体两侧预留检修平台接口</w:t>
      </w:r>
      <w:r>
        <w:rPr>
          <w:rFonts w:hint="eastAsia" w:ascii="宋体" w:hAnsi="宋体" w:eastAsia="宋体" w:cs="宋体"/>
          <w:kern w:val="0"/>
          <w:sz w:val="24"/>
          <w:szCs w:val="24"/>
          <w:lang w:val="en-US" w:eastAsia="zh-CN" w:bidi="ar"/>
        </w:rPr>
        <w:t>。</w:t>
      </w:r>
    </w:p>
    <w:p w14:paraId="79C15A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bCs/>
          <w:spacing w:val="-2"/>
          <w:kern w:val="2"/>
          <w:sz w:val="24"/>
          <w:szCs w:val="24"/>
          <w:highlight w:val="green"/>
          <w:lang w:val="en-US" w:eastAsia="zh-CN" w:bidi="ar-SA"/>
        </w:rPr>
      </w:pPr>
      <w:r>
        <w:rPr>
          <w:rFonts w:hint="eastAsia" w:ascii="宋体" w:hAnsi="宋体" w:eastAsia="宋体" w:cs="宋体"/>
          <w:b/>
          <w:bCs/>
          <w:spacing w:val="-2"/>
          <w:kern w:val="2"/>
          <w:sz w:val="24"/>
          <w:szCs w:val="24"/>
          <w:lang w:val="en-US" w:eastAsia="zh-CN" w:bidi="ar-SA"/>
        </w:rPr>
        <w:t>3、卧式螺杆泵</w:t>
      </w:r>
    </w:p>
    <w:p w14:paraId="5A94E769">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（1）卧式螺杆泵的供货范围包括但不限于：</w:t>
      </w:r>
    </w:p>
    <w:p w14:paraId="6D8F9153">
      <w:pPr>
        <w:numPr>
          <w:ilvl w:val="0"/>
          <w:numId w:val="23"/>
        </w:numPr>
        <w:spacing w:line="360" w:lineRule="auto"/>
        <w:ind w:left="840" w:hanging="437"/>
        <w:rPr>
          <w:rFonts w:ascii="Calibri" w:hAnsi="Calibri"/>
          <w:sz w:val="24"/>
          <w:szCs w:val="24"/>
        </w:rPr>
      </w:pPr>
      <w:r>
        <w:rPr>
          <w:rFonts w:hint="eastAsia" w:ascii="Calibri" w:hAnsi="Calibri"/>
          <w:sz w:val="24"/>
          <w:szCs w:val="24"/>
        </w:rPr>
        <w:t>泵本体</w:t>
      </w:r>
    </w:p>
    <w:p w14:paraId="7A57BDD6">
      <w:pPr>
        <w:numPr>
          <w:ilvl w:val="0"/>
          <w:numId w:val="23"/>
        </w:numPr>
        <w:spacing w:line="360" w:lineRule="auto"/>
        <w:ind w:left="840" w:hanging="437"/>
        <w:rPr>
          <w:rFonts w:ascii="Calibri" w:hAnsi="Calibri"/>
          <w:b w:val="0"/>
          <w:bCs w:val="0"/>
          <w:color w:val="auto"/>
          <w:sz w:val="24"/>
          <w:szCs w:val="24"/>
        </w:rPr>
      </w:pPr>
      <w:r>
        <w:rPr>
          <w:rFonts w:hint="eastAsia" w:ascii="Calibri" w:hAnsi="Calibri"/>
          <w:sz w:val="24"/>
          <w:szCs w:val="24"/>
        </w:rPr>
        <w:t>驱动变频电机</w:t>
      </w:r>
      <w:r>
        <w:rPr>
          <w:rFonts w:hint="eastAsia" w:ascii="Calibri" w:hAnsi="Calibri"/>
          <w:b w:val="0"/>
          <w:bCs w:val="0"/>
          <w:color w:val="auto"/>
          <w:sz w:val="24"/>
          <w:szCs w:val="24"/>
        </w:rPr>
        <w:t>、减速机</w:t>
      </w:r>
    </w:p>
    <w:p w14:paraId="72FA3CD5">
      <w:pPr>
        <w:numPr>
          <w:ilvl w:val="0"/>
          <w:numId w:val="23"/>
        </w:numPr>
        <w:spacing w:line="360" w:lineRule="auto"/>
        <w:ind w:left="840" w:hanging="437"/>
        <w:rPr>
          <w:rFonts w:ascii="Calibri" w:hAnsi="Calibri"/>
          <w:b w:val="0"/>
          <w:bCs w:val="0"/>
          <w:color w:val="auto"/>
          <w:sz w:val="24"/>
          <w:szCs w:val="24"/>
        </w:rPr>
      </w:pPr>
      <w:r>
        <w:rPr>
          <w:rFonts w:hint="eastAsia" w:ascii="宋体" w:hAnsi="宋体"/>
          <w:b w:val="0"/>
          <w:bCs w:val="0"/>
          <w:color w:val="auto"/>
          <w:sz w:val="24"/>
          <w:szCs w:val="24"/>
        </w:rPr>
        <w:t>联轴器、公共底座</w:t>
      </w:r>
    </w:p>
    <w:p w14:paraId="40D16540">
      <w:pPr>
        <w:numPr>
          <w:ilvl w:val="0"/>
          <w:numId w:val="23"/>
        </w:numPr>
        <w:spacing w:line="360" w:lineRule="auto"/>
        <w:ind w:left="840" w:hanging="437"/>
        <w:rPr>
          <w:rFonts w:ascii="Calibri" w:hAnsi="Calibri"/>
          <w:b w:val="0"/>
          <w:bCs w:val="0"/>
          <w:color w:val="auto"/>
          <w:sz w:val="24"/>
          <w:szCs w:val="24"/>
        </w:rPr>
      </w:pPr>
      <w:r>
        <w:rPr>
          <w:rFonts w:hint="eastAsia" w:ascii="宋体" w:hAnsi="宋体"/>
          <w:b w:val="0"/>
          <w:bCs w:val="0"/>
          <w:color w:val="auto"/>
          <w:sz w:val="24"/>
          <w:szCs w:val="24"/>
        </w:rPr>
        <w:t>泵进、出口配对反法兰及垫片、螺栓组件</w:t>
      </w:r>
    </w:p>
    <w:p w14:paraId="72BD5EA8">
      <w:pPr>
        <w:numPr>
          <w:ilvl w:val="0"/>
          <w:numId w:val="23"/>
        </w:numPr>
        <w:spacing w:line="360" w:lineRule="auto"/>
        <w:ind w:left="840" w:hanging="437"/>
        <w:rPr>
          <w:rFonts w:ascii="Calibri" w:hAnsi="Calibri"/>
          <w:sz w:val="24"/>
          <w:szCs w:val="24"/>
        </w:rPr>
      </w:pPr>
      <w:r>
        <w:rPr>
          <w:rFonts w:hint="eastAsia" w:ascii="宋体" w:hAnsi="宋体"/>
          <w:sz w:val="24"/>
          <w:szCs w:val="24"/>
        </w:rPr>
        <w:t>地脚螺栓、螺母组件</w:t>
      </w:r>
    </w:p>
    <w:p w14:paraId="7E92E33F">
      <w:pPr>
        <w:numPr>
          <w:ilvl w:val="0"/>
          <w:numId w:val="23"/>
        </w:numPr>
        <w:spacing w:line="360" w:lineRule="auto"/>
        <w:ind w:left="840" w:hanging="437"/>
        <w:rPr>
          <w:rFonts w:ascii="宋体" w:hAnsi="宋体"/>
          <w:sz w:val="24"/>
          <w:szCs w:val="24"/>
        </w:rPr>
      </w:pPr>
      <w:r>
        <w:rPr>
          <w:rFonts w:hint="eastAsia" w:ascii="宋体" w:hAnsi="宋体"/>
          <w:sz w:val="24"/>
          <w:szCs w:val="24"/>
        </w:rPr>
        <w:t>专用工具及随机备品备件</w:t>
      </w:r>
    </w:p>
    <w:p w14:paraId="5A7A49A0">
      <w:pPr>
        <w:widowControl/>
        <w:numPr>
          <w:ilvl w:val="0"/>
          <w:numId w:val="23"/>
        </w:numPr>
        <w:spacing w:afterLines="0" w:line="360" w:lineRule="auto"/>
        <w:ind w:left="857" w:leftChars="200" w:hanging="437"/>
        <w:jc w:val="left"/>
        <w:rPr>
          <w:rFonts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t>保证泵正常运行的其它部件</w:t>
      </w:r>
    </w:p>
    <w:p w14:paraId="6A9D2C20">
      <w:pPr>
        <w:widowControl/>
        <w:numPr>
          <w:ilvl w:val="0"/>
          <w:numId w:val="23"/>
        </w:numPr>
        <w:spacing w:afterLines="0" w:line="360" w:lineRule="auto"/>
        <w:ind w:left="857" w:leftChars="200" w:hanging="437"/>
        <w:jc w:val="left"/>
        <w:rPr>
          <w:rFonts w:hint="eastAsia" w:ascii="宋体" w:hAnsi="宋体" w:eastAsia="宋体" w:cs="宋体"/>
          <w:b/>
          <w:bCs/>
          <w:spacing w:val="-2"/>
          <w:kern w:val="2"/>
          <w:sz w:val="24"/>
          <w:szCs w:val="24"/>
          <w:highlight w:val="green"/>
          <w:lang w:val="en-US" w:eastAsia="zh-CN" w:bidi="ar-SA"/>
        </w:rPr>
      </w:pPr>
      <w:r>
        <w:rPr>
          <w:rFonts w:hint="eastAsia" w:ascii="Times New Roman" w:hAnsi="宋体" w:eastAsia="宋体" w:cs="Times New Roman"/>
          <w:kern w:val="0"/>
          <w:sz w:val="24"/>
          <w:szCs w:val="24"/>
          <w:lang w:val="en-US" w:eastAsia="zh-CN" w:bidi="ar-SA"/>
        </w:rPr>
        <w:t>润滑油脂</w:t>
      </w:r>
    </w:p>
    <w:p w14:paraId="38FC2BE4">
      <w:pPr>
        <w:keepNext/>
        <w:keepLines/>
        <w:widowControl w:val="0"/>
        <w:spacing w:beforeLines="0" w:beforeAutospacing="0" w:afterLines="0" w:afterAutospacing="0" w:line="360" w:lineRule="auto"/>
        <w:jc w:val="both"/>
        <w:outlineLvl w:val="1"/>
        <w:rPr>
          <w:rFonts w:hint="eastAsia" w:ascii="宋体" w:hAnsi="宋体" w:eastAsia="宋体" w:cs="宋体"/>
          <w:b/>
          <w:bCs/>
          <w:spacing w:val="-2"/>
          <w:kern w:val="2"/>
          <w:sz w:val="24"/>
          <w:szCs w:val="24"/>
          <w:highlight w:val="green"/>
          <w:lang w:val="en-US" w:eastAsia="zh-CN" w:bidi="ar-SA"/>
        </w:rPr>
      </w:pPr>
      <w:r>
        <w:rPr>
          <w:rFonts w:hint="eastAsia" w:ascii="宋体" w:hAnsi="宋体" w:eastAsia="宋体" w:cs="Times New Roman"/>
          <w:b/>
          <w:bCs/>
          <w:kern w:val="2"/>
          <w:sz w:val="24"/>
          <w:szCs w:val="24"/>
          <w:lang w:val="en-US" w:eastAsia="zh-CN" w:bidi="ar-SA"/>
        </w:rPr>
        <w:t>（2）螺杆泵技术要求</w:t>
      </w:r>
    </w:p>
    <w:p w14:paraId="29233934">
      <w:pPr>
        <w:widowControl/>
        <w:spacing w:afterLines="0"/>
        <w:ind w:left="420" w:leftChars="200"/>
        <w:jc w:val="left"/>
        <w:rPr>
          <w:rFonts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t>1）定子</w:t>
      </w:r>
    </w:p>
    <w:p w14:paraId="6E6C34C6">
      <w:pPr>
        <w:widowControl/>
        <w:spacing w:afterLines="0"/>
        <w:ind w:left="420" w:leftChars="200" w:firstLine="480"/>
        <w:jc w:val="left"/>
        <w:rPr>
          <w:rFonts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t>泵的定子橡胶与外壳牢固结合，其工作面没有接缝、接痕、气孔和裂缝等缺陷，定子采用配方丁腈橡胶NBR材质，在规定工况下，设计正常工作寿命不低于10,000小时。</w:t>
      </w:r>
    </w:p>
    <w:p w14:paraId="684CCD09">
      <w:pPr>
        <w:spacing w:line="360" w:lineRule="auto"/>
        <w:ind w:firstLine="420"/>
        <w:rPr>
          <w:rFonts w:ascii="Calibri" w:hAnsi="Calibri"/>
          <w:sz w:val="24"/>
          <w:szCs w:val="24"/>
        </w:rPr>
      </w:pPr>
      <w:r>
        <w:rPr>
          <w:rFonts w:hint="eastAsia" w:ascii="Calibri" w:hAnsi="Calibri"/>
          <w:sz w:val="24"/>
          <w:szCs w:val="24"/>
        </w:rPr>
        <w:t>2）转子</w:t>
      </w:r>
    </w:p>
    <w:p w14:paraId="0DF00DF2">
      <w:pPr>
        <w:spacing w:line="360" w:lineRule="auto"/>
        <w:ind w:firstLine="480" w:firstLineChars="200"/>
        <w:rPr>
          <w:rFonts w:ascii="Calibri" w:hAnsi="Calibri"/>
          <w:sz w:val="24"/>
          <w:szCs w:val="24"/>
        </w:rPr>
      </w:pPr>
      <w:r>
        <w:rPr>
          <w:rFonts w:hint="eastAsia" w:ascii="Calibri" w:hAnsi="Calibri"/>
          <w:sz w:val="24"/>
          <w:szCs w:val="24"/>
        </w:rPr>
        <w:t>转子</w:t>
      </w:r>
      <w:r>
        <w:rPr>
          <w:rFonts w:hint="eastAsia" w:ascii="Calibri" w:hAnsi="Calibri"/>
          <w:color w:val="auto"/>
          <w:sz w:val="24"/>
          <w:szCs w:val="24"/>
        </w:rPr>
        <w:t>采用304镀硬铬，设计正常工作寿命不低于12,000小时。</w:t>
      </w:r>
    </w:p>
    <w:p w14:paraId="6EA79263">
      <w:pPr>
        <w:spacing w:line="360" w:lineRule="auto"/>
        <w:ind w:firstLine="420"/>
        <w:rPr>
          <w:rFonts w:ascii="Calibri" w:hAnsi="Calibri"/>
          <w:sz w:val="24"/>
          <w:szCs w:val="24"/>
        </w:rPr>
      </w:pPr>
      <w:r>
        <w:rPr>
          <w:rFonts w:hint="eastAsia" w:ascii="Calibri" w:hAnsi="Calibri"/>
          <w:sz w:val="24"/>
          <w:szCs w:val="24"/>
        </w:rPr>
        <w:t>3）连轴杆/传动轴</w:t>
      </w:r>
    </w:p>
    <w:p w14:paraId="494358B6">
      <w:pPr>
        <w:spacing w:line="360" w:lineRule="auto"/>
        <w:ind w:firstLine="480" w:firstLineChars="200"/>
        <w:rPr>
          <w:rFonts w:ascii="Calibri" w:hAnsi="Calibri"/>
          <w:sz w:val="24"/>
          <w:szCs w:val="24"/>
        </w:rPr>
      </w:pPr>
      <w:r>
        <w:rPr>
          <w:rFonts w:hint="eastAsia" w:ascii="Calibri" w:hAnsi="Calibri"/>
          <w:sz w:val="24"/>
          <w:szCs w:val="24"/>
        </w:rPr>
        <w:t>连轴杆和传动轴采用2Cr13不锈钢或更高材质制造。连轴杆有足够的长度设计，避免过大的仰角，用以承担合理的径向载荷，从而有利于保护万向节部件及橡胶定子入料端；传动轴与轴封相接触的部位镀250 um硬铬处理，以利于提高其寿命。</w:t>
      </w:r>
    </w:p>
    <w:p w14:paraId="2DE47D3C">
      <w:pPr>
        <w:spacing w:line="360" w:lineRule="auto"/>
        <w:ind w:firstLine="420"/>
        <w:rPr>
          <w:rFonts w:ascii="Calibri" w:hAnsi="Calibri"/>
          <w:sz w:val="24"/>
          <w:szCs w:val="24"/>
        </w:rPr>
      </w:pPr>
      <w:r>
        <w:rPr>
          <w:rFonts w:hint="eastAsia" w:ascii="Calibri" w:hAnsi="Calibri"/>
          <w:sz w:val="24"/>
          <w:szCs w:val="24"/>
        </w:rPr>
        <w:t>4）万向联轴节</w:t>
      </w:r>
    </w:p>
    <w:p w14:paraId="038284C4">
      <w:pPr>
        <w:spacing w:line="360" w:lineRule="auto"/>
        <w:ind w:firstLine="480" w:firstLineChars="200"/>
        <w:rPr>
          <w:rFonts w:ascii="Calibri" w:hAnsi="Calibri"/>
          <w:sz w:val="24"/>
          <w:szCs w:val="24"/>
        </w:rPr>
      </w:pPr>
      <w:r>
        <w:rPr>
          <w:rFonts w:hint="eastAsia" w:ascii="Calibri" w:hAnsi="Calibri"/>
          <w:sz w:val="24"/>
          <w:szCs w:val="24"/>
        </w:rPr>
        <w:t>为适应螺杆泵转子的偏心传动，在传动轴和转子之间的连轴杆两端使用万向联轴节连接。万向节外面是不锈钢护套，坚固耐磨；</w:t>
      </w:r>
      <w:r>
        <w:rPr>
          <w:rFonts w:hint="eastAsia" w:ascii="Calibri" w:hAnsi="Calibri"/>
          <w:color w:val="auto"/>
          <w:sz w:val="24"/>
          <w:szCs w:val="24"/>
        </w:rPr>
        <w:t>端部橡胶防护套为流线型设计，利于物料顺畅流动，不缠绕，不堵塞。</w:t>
      </w:r>
    </w:p>
    <w:p w14:paraId="51B92126">
      <w:pPr>
        <w:spacing w:line="360" w:lineRule="auto"/>
        <w:ind w:firstLine="420"/>
        <w:rPr>
          <w:rFonts w:ascii="Calibri" w:hAnsi="Calibri"/>
          <w:sz w:val="24"/>
          <w:szCs w:val="24"/>
        </w:rPr>
      </w:pPr>
      <w:r>
        <w:rPr>
          <w:rFonts w:hint="eastAsia" w:ascii="Calibri" w:hAnsi="Calibri"/>
          <w:sz w:val="24"/>
          <w:szCs w:val="24"/>
        </w:rPr>
        <w:t>5）泵的吸入和排出段</w:t>
      </w:r>
    </w:p>
    <w:p w14:paraId="2B209765">
      <w:pPr>
        <w:spacing w:line="360" w:lineRule="auto"/>
        <w:ind w:firstLine="480" w:firstLineChars="200"/>
        <w:rPr>
          <w:rFonts w:ascii="Calibri" w:hAnsi="Calibri"/>
          <w:sz w:val="24"/>
          <w:szCs w:val="24"/>
        </w:rPr>
      </w:pPr>
      <w:r>
        <w:rPr>
          <w:rFonts w:hint="eastAsia" w:ascii="Calibri" w:hAnsi="Calibri"/>
          <w:sz w:val="24"/>
          <w:szCs w:val="24"/>
        </w:rPr>
        <w:t>泵的吸入和排出口法兰结构尺寸应符合ISO</w:t>
      </w:r>
      <w:r>
        <w:rPr>
          <w:rFonts w:ascii="Calibri" w:hAnsi="Calibri"/>
          <w:sz w:val="24"/>
          <w:szCs w:val="24"/>
        </w:rPr>
        <w:t>7005</w:t>
      </w:r>
      <w:r>
        <w:rPr>
          <w:rFonts w:hint="eastAsia" w:ascii="Calibri" w:hAnsi="Calibri"/>
          <w:sz w:val="24"/>
          <w:szCs w:val="24"/>
        </w:rPr>
        <w:t>标准。额定压力为1.</w:t>
      </w:r>
      <w:r>
        <w:rPr>
          <w:rFonts w:ascii="Calibri" w:hAnsi="Calibri"/>
          <w:sz w:val="24"/>
          <w:szCs w:val="24"/>
        </w:rPr>
        <w:t>6</w:t>
      </w:r>
      <w:r>
        <w:rPr>
          <w:rFonts w:hint="eastAsia" w:ascii="Calibri" w:hAnsi="Calibri"/>
          <w:sz w:val="24"/>
          <w:szCs w:val="24"/>
        </w:rPr>
        <w:t>MPa。</w:t>
      </w:r>
    </w:p>
    <w:p w14:paraId="6A90A140">
      <w:pPr>
        <w:spacing w:line="360" w:lineRule="auto"/>
        <w:ind w:firstLine="420"/>
        <w:rPr>
          <w:rFonts w:ascii="Calibri" w:hAnsi="Calibri"/>
          <w:sz w:val="24"/>
          <w:szCs w:val="24"/>
        </w:rPr>
      </w:pPr>
      <w:r>
        <w:rPr>
          <w:rFonts w:hint="eastAsia" w:ascii="Calibri" w:hAnsi="Calibri"/>
          <w:sz w:val="24"/>
          <w:szCs w:val="24"/>
        </w:rPr>
        <w:t>6）轴的密封</w:t>
      </w:r>
    </w:p>
    <w:p w14:paraId="0EB31220">
      <w:pPr>
        <w:spacing w:line="360" w:lineRule="auto"/>
        <w:ind w:firstLine="480" w:firstLineChars="200"/>
        <w:rPr>
          <w:rFonts w:ascii="Calibri" w:hAnsi="Calibri"/>
          <w:sz w:val="24"/>
          <w:szCs w:val="24"/>
        </w:rPr>
      </w:pPr>
      <w:r>
        <w:rPr>
          <w:rFonts w:hint="eastAsia" w:ascii="Calibri" w:hAnsi="Calibri"/>
          <w:sz w:val="24"/>
          <w:szCs w:val="24"/>
        </w:rPr>
        <w:t>采</w:t>
      </w:r>
      <w:r>
        <w:rPr>
          <w:rFonts w:hint="eastAsia" w:ascii="Calibri" w:hAnsi="Calibri"/>
          <w:color w:val="auto"/>
          <w:sz w:val="24"/>
          <w:szCs w:val="24"/>
        </w:rPr>
        <w:t>用机械密封。</w:t>
      </w:r>
    </w:p>
    <w:p w14:paraId="5B0013E0">
      <w:pPr>
        <w:spacing w:line="360" w:lineRule="auto"/>
        <w:ind w:firstLine="420"/>
        <w:rPr>
          <w:rFonts w:ascii="Calibri" w:hAnsi="Calibri"/>
          <w:sz w:val="24"/>
          <w:szCs w:val="24"/>
        </w:rPr>
      </w:pPr>
      <w:r>
        <w:rPr>
          <w:rFonts w:hint="eastAsia" w:ascii="Calibri" w:hAnsi="Calibri"/>
          <w:sz w:val="24"/>
          <w:szCs w:val="24"/>
        </w:rPr>
        <w:t>7）齿轮减速机</w:t>
      </w:r>
    </w:p>
    <w:p w14:paraId="03F052AF">
      <w:pPr>
        <w:spacing w:line="360" w:lineRule="auto"/>
        <w:ind w:firstLine="480" w:firstLineChars="200"/>
        <w:rPr>
          <w:rFonts w:ascii="Calibri" w:hAnsi="Calibri"/>
          <w:sz w:val="24"/>
          <w:szCs w:val="24"/>
        </w:rPr>
      </w:pPr>
      <w:r>
        <w:rPr>
          <w:rFonts w:hint="eastAsia" w:ascii="Calibri" w:hAnsi="Calibri"/>
          <w:sz w:val="24"/>
          <w:szCs w:val="24"/>
        </w:rPr>
        <w:t>采用齿轮减速箱, 齿轮减速箱与电机为一体化紧凑设计，与泵连接，并应安装在同一底盘上，泵与减</w:t>
      </w:r>
      <w:r>
        <w:rPr>
          <w:rFonts w:hint="eastAsia" w:ascii="Calibri" w:hAnsi="Calibri"/>
          <w:color w:val="auto"/>
          <w:sz w:val="24"/>
          <w:szCs w:val="24"/>
        </w:rPr>
        <w:t>速电机应通过轴承座式联轴器来连接，泵用轴承SKF。电机适合380V/3Ph供电电源。</w:t>
      </w:r>
    </w:p>
    <w:p w14:paraId="228FC147">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电动机技术要求</w:t>
      </w:r>
    </w:p>
    <w:p w14:paraId="5EC8B231">
      <w:pPr>
        <w:numPr>
          <w:ilvl w:val="0"/>
          <w:numId w:val="24"/>
        </w:numPr>
        <w:spacing w:line="360" w:lineRule="auto"/>
        <w:ind w:left="0" w:firstLine="480" w:firstLineChars="200"/>
        <w:rPr>
          <w:rFonts w:ascii="Calibri" w:hAnsi="Calibri"/>
          <w:color w:val="000000"/>
          <w:sz w:val="24"/>
          <w:szCs w:val="24"/>
        </w:rPr>
      </w:pPr>
      <w:r>
        <w:rPr>
          <w:rFonts w:hint="eastAsia" w:ascii="Calibri" w:hAnsi="Calibri"/>
          <w:color w:val="000000"/>
          <w:sz w:val="24"/>
          <w:szCs w:val="24"/>
        </w:rPr>
        <w:t>电动机的设计与构造，应考虑到周围环境对电动机的影响，避免灰尘、水汽及腐蚀气体对绝缘造成的损坏。</w:t>
      </w:r>
    </w:p>
    <w:p w14:paraId="3BF30767">
      <w:pPr>
        <w:numPr>
          <w:ilvl w:val="0"/>
          <w:numId w:val="24"/>
        </w:numPr>
        <w:spacing w:line="360" w:lineRule="auto"/>
        <w:ind w:left="0" w:firstLine="480" w:firstLineChars="200"/>
        <w:rPr>
          <w:rFonts w:ascii="Calibri" w:hAnsi="Calibri"/>
          <w:color w:val="000000"/>
          <w:sz w:val="24"/>
          <w:szCs w:val="24"/>
        </w:rPr>
      </w:pPr>
      <w:r>
        <w:rPr>
          <w:rFonts w:hint="eastAsia" w:ascii="Calibri" w:hAnsi="Calibri"/>
          <w:color w:val="000000"/>
          <w:sz w:val="24"/>
          <w:szCs w:val="24"/>
        </w:rPr>
        <w:t>安装在户外的电动机外露部分应涂户外油漆加以保护，铁芯矽钢片和其他部件也应用涂层保护以防腐蚀。对于装有防滴式外壳的电动机，应采用弹性耐磨涂层对定子绕组的端部线匝和通风槽片进行处理。</w:t>
      </w:r>
    </w:p>
    <w:p w14:paraId="13771598">
      <w:pPr>
        <w:numPr>
          <w:ilvl w:val="0"/>
          <w:numId w:val="24"/>
        </w:numPr>
        <w:spacing w:line="360" w:lineRule="auto"/>
        <w:ind w:left="0" w:firstLine="480" w:firstLineChars="200"/>
        <w:rPr>
          <w:rFonts w:ascii="Calibri" w:hAnsi="Calibri"/>
          <w:color w:val="000000"/>
          <w:sz w:val="24"/>
          <w:szCs w:val="24"/>
        </w:rPr>
      </w:pPr>
      <w:r>
        <w:rPr>
          <w:rFonts w:hint="eastAsia" w:ascii="Calibri" w:hAnsi="Calibri"/>
          <w:color w:val="000000"/>
          <w:sz w:val="24"/>
          <w:szCs w:val="24"/>
        </w:rPr>
        <w:t>电机铁心硅钢片应采用优质产品。</w:t>
      </w:r>
    </w:p>
    <w:p w14:paraId="7168C942">
      <w:pPr>
        <w:numPr>
          <w:ilvl w:val="0"/>
          <w:numId w:val="24"/>
        </w:numPr>
        <w:spacing w:line="360" w:lineRule="auto"/>
        <w:ind w:left="0" w:firstLine="480" w:firstLineChars="200"/>
        <w:rPr>
          <w:rFonts w:ascii="Calibri" w:hAnsi="Calibri"/>
          <w:color w:val="000000"/>
          <w:sz w:val="24"/>
          <w:szCs w:val="24"/>
        </w:rPr>
      </w:pPr>
      <w:r>
        <w:rPr>
          <w:rFonts w:hint="eastAsia" w:ascii="Calibri" w:hAnsi="Calibri"/>
          <w:color w:val="000000"/>
          <w:sz w:val="24"/>
          <w:szCs w:val="24"/>
        </w:rPr>
        <w:t>电动机环境温度、温升应符合现行国家标准</w:t>
      </w:r>
      <w:r>
        <w:rPr>
          <w:rFonts w:ascii="Calibri" w:hAnsi="Calibri"/>
          <w:color w:val="000000"/>
          <w:sz w:val="24"/>
          <w:szCs w:val="24"/>
        </w:rPr>
        <w:t>GB-755</w:t>
      </w:r>
      <w:r>
        <w:rPr>
          <w:rFonts w:hint="eastAsia" w:ascii="Calibri" w:hAnsi="Calibri"/>
          <w:color w:val="000000"/>
          <w:sz w:val="24"/>
          <w:szCs w:val="24"/>
        </w:rPr>
        <w:t>《旋转电机定额和性能》的有关规定。</w:t>
      </w:r>
    </w:p>
    <w:p w14:paraId="65F63A49">
      <w:pPr>
        <w:numPr>
          <w:ilvl w:val="0"/>
          <w:numId w:val="24"/>
        </w:numPr>
        <w:spacing w:line="360" w:lineRule="auto"/>
        <w:ind w:left="0" w:firstLine="480" w:firstLineChars="200"/>
        <w:rPr>
          <w:rFonts w:ascii="Calibri" w:hAnsi="Calibri"/>
          <w:color w:val="000000"/>
          <w:sz w:val="24"/>
          <w:szCs w:val="24"/>
        </w:rPr>
      </w:pPr>
      <w:r>
        <w:rPr>
          <w:rFonts w:hint="eastAsia" w:ascii="Calibri" w:hAnsi="Calibri"/>
          <w:color w:val="000000"/>
          <w:sz w:val="24"/>
          <w:szCs w:val="24"/>
        </w:rPr>
        <w:t>每台电动机应装设有电动机机座接地的装置，两个接地装置应位于电动机完全相反的两侧。一个接地装置位于电源电缆穿线盒的下方，另一个接地装置位于与第一个接地装置相差</w:t>
      </w:r>
      <w:r>
        <w:rPr>
          <w:rFonts w:ascii="Calibri" w:hAnsi="Calibri"/>
          <w:color w:val="000000"/>
          <w:sz w:val="24"/>
          <w:szCs w:val="24"/>
        </w:rPr>
        <w:t>180</w:t>
      </w:r>
      <w:r>
        <w:rPr>
          <w:rFonts w:hint="eastAsia" w:ascii="Calibri" w:hAnsi="Calibri"/>
          <w:color w:val="000000"/>
          <w:sz w:val="24"/>
          <w:szCs w:val="24"/>
        </w:rPr>
        <w:t>度的位置。每台电动机应设有一个排水孔，以防内部水的积聚。每台电动机应装有起吊环、起吊钩或其它便于安全起吊电动机的装置。</w:t>
      </w:r>
    </w:p>
    <w:p w14:paraId="0621B2AE">
      <w:pPr>
        <w:spacing w:line="360" w:lineRule="auto"/>
        <w:rPr>
          <w:rFonts w:ascii="Calibri" w:hAnsi="Calibri"/>
          <w:b/>
          <w:sz w:val="24"/>
          <w:szCs w:val="24"/>
        </w:rPr>
      </w:pPr>
      <w:r>
        <w:rPr>
          <w:rFonts w:hint="eastAsia" w:ascii="Calibri" w:hAnsi="Calibri"/>
          <w:b/>
          <w:sz w:val="24"/>
          <w:szCs w:val="24"/>
          <w:lang w:eastAsia="zh-CN"/>
        </w:rPr>
        <w:t>（</w:t>
      </w:r>
      <w:r>
        <w:rPr>
          <w:rFonts w:hint="eastAsia" w:ascii="Calibri" w:hAnsi="Calibri"/>
          <w:b/>
          <w:sz w:val="24"/>
          <w:szCs w:val="24"/>
          <w:lang w:val="en-US" w:eastAsia="zh-CN"/>
        </w:rPr>
        <w:t>4</w:t>
      </w:r>
      <w:r>
        <w:rPr>
          <w:rFonts w:hint="eastAsia" w:ascii="Calibri" w:hAnsi="Calibri"/>
          <w:b/>
          <w:sz w:val="24"/>
          <w:szCs w:val="24"/>
          <w:lang w:eastAsia="zh-CN"/>
        </w:rPr>
        <w:t>）</w:t>
      </w:r>
      <w:r>
        <w:rPr>
          <w:rFonts w:hint="eastAsia" w:ascii="Calibri" w:hAnsi="Calibri"/>
          <w:b/>
          <w:sz w:val="24"/>
          <w:szCs w:val="24"/>
        </w:rPr>
        <w:t xml:space="preserve">其他技术要求 </w:t>
      </w:r>
    </w:p>
    <w:p w14:paraId="42097976">
      <w:pPr>
        <w:numPr>
          <w:ilvl w:val="0"/>
          <w:numId w:val="25"/>
        </w:numPr>
        <w:spacing w:line="360" w:lineRule="auto"/>
        <w:ind w:left="0" w:firstLine="420"/>
        <w:rPr>
          <w:rFonts w:ascii="Calibri" w:hAnsi="Calibri"/>
          <w:sz w:val="24"/>
          <w:szCs w:val="24"/>
        </w:rPr>
      </w:pPr>
      <w:r>
        <w:rPr>
          <w:rFonts w:hint="eastAsia" w:ascii="Calibri" w:hAnsi="Calibri"/>
          <w:sz w:val="24"/>
          <w:szCs w:val="24"/>
        </w:rPr>
        <w:t>螺杆泵应实行24小时连续运行或间歇运行，无故障累积运行时间大于20000h。</w:t>
      </w:r>
    </w:p>
    <w:p w14:paraId="23F07E65">
      <w:pPr>
        <w:numPr>
          <w:ilvl w:val="0"/>
          <w:numId w:val="25"/>
        </w:numPr>
        <w:spacing w:line="360" w:lineRule="auto"/>
        <w:ind w:left="0" w:firstLine="420"/>
        <w:rPr>
          <w:rFonts w:ascii="Calibri" w:hAnsi="Calibri"/>
          <w:sz w:val="24"/>
          <w:szCs w:val="24"/>
        </w:rPr>
      </w:pPr>
      <w:r>
        <w:rPr>
          <w:rFonts w:hint="eastAsia" w:ascii="Calibri" w:hAnsi="Calibri"/>
          <w:sz w:val="24"/>
          <w:szCs w:val="24"/>
        </w:rPr>
        <w:t>泵应保证在工作曲线下正常运行。</w:t>
      </w:r>
    </w:p>
    <w:p w14:paraId="7A7D80C6">
      <w:pPr>
        <w:numPr>
          <w:ilvl w:val="0"/>
          <w:numId w:val="25"/>
        </w:numPr>
        <w:spacing w:line="360" w:lineRule="auto"/>
        <w:ind w:left="0" w:firstLine="420"/>
        <w:rPr>
          <w:rFonts w:ascii="Calibri" w:hAnsi="Calibri"/>
          <w:sz w:val="24"/>
          <w:szCs w:val="24"/>
        </w:rPr>
      </w:pPr>
      <w:r>
        <w:rPr>
          <w:rFonts w:hint="eastAsia" w:ascii="宋体" w:hAnsi="宋体" w:eastAsia="宋体" w:cs="宋体"/>
          <w:sz w:val="24"/>
          <w:szCs w:val="24"/>
        </w:rPr>
        <w:t>机组噪音应小于85dB(A) (距离泵一米处测量)</w:t>
      </w:r>
      <w:r>
        <w:rPr>
          <w:rFonts w:hint="eastAsia" w:ascii="Calibri" w:hAnsi="Calibri"/>
          <w:sz w:val="24"/>
          <w:szCs w:val="24"/>
        </w:rPr>
        <w:t>。</w:t>
      </w:r>
    </w:p>
    <w:p w14:paraId="61650115">
      <w:pPr>
        <w:numPr>
          <w:ilvl w:val="0"/>
          <w:numId w:val="25"/>
        </w:numPr>
        <w:spacing w:line="360" w:lineRule="auto"/>
        <w:ind w:left="0" w:firstLine="420"/>
        <w:rPr>
          <w:rFonts w:ascii="Calibri" w:hAnsi="Calibri"/>
          <w:sz w:val="24"/>
          <w:szCs w:val="24"/>
        </w:rPr>
      </w:pPr>
      <w:r>
        <w:rPr>
          <w:rFonts w:hint="eastAsia" w:ascii="Calibri" w:hAnsi="Calibri"/>
          <w:sz w:val="24"/>
          <w:szCs w:val="24"/>
        </w:rPr>
        <w:t>泵在额定工况下工作时，全振幅不得大于0.055mm（55μm）。</w:t>
      </w:r>
    </w:p>
    <w:p w14:paraId="11B135BA">
      <w:pPr>
        <w:numPr>
          <w:ilvl w:val="0"/>
          <w:numId w:val="25"/>
        </w:numPr>
        <w:spacing w:line="360" w:lineRule="auto"/>
        <w:ind w:left="0" w:firstLine="420"/>
        <w:rPr>
          <w:rFonts w:ascii="Calibri" w:hAnsi="Calibri"/>
          <w:sz w:val="24"/>
          <w:szCs w:val="24"/>
        </w:rPr>
      </w:pPr>
      <w:r>
        <w:rPr>
          <w:rFonts w:hint="eastAsia" w:ascii="Calibri" w:hAnsi="Calibri"/>
          <w:sz w:val="24"/>
          <w:szCs w:val="24"/>
        </w:rPr>
        <w:t>设备的防腐均严格按国家有关材料和设备的防腐标准设计、施工。</w:t>
      </w:r>
    </w:p>
    <w:p w14:paraId="381EB786">
      <w:pPr>
        <w:numPr>
          <w:ilvl w:val="0"/>
          <w:numId w:val="25"/>
        </w:numPr>
        <w:spacing w:line="360" w:lineRule="auto"/>
        <w:ind w:left="0" w:firstLine="420"/>
        <w:rPr>
          <w:rFonts w:ascii="Calibri" w:hAnsi="宋体"/>
          <w:sz w:val="24"/>
          <w:szCs w:val="24"/>
        </w:rPr>
      </w:pPr>
      <w:r>
        <w:rPr>
          <w:rFonts w:hint="eastAsia" w:ascii="Calibri" w:hAnsi="宋体"/>
          <w:sz w:val="24"/>
          <w:szCs w:val="24"/>
          <w:lang w:val="en-US" w:eastAsia="zh-CN"/>
        </w:rPr>
        <w:t>泵的</w:t>
      </w:r>
      <w:r>
        <w:rPr>
          <w:rFonts w:ascii="Calibri" w:hAnsi="宋体"/>
          <w:sz w:val="24"/>
          <w:szCs w:val="24"/>
        </w:rPr>
        <w:t>性能曲线在运行工况范围内的流量、扬程、效率不允许有负偏差。</w:t>
      </w:r>
    </w:p>
    <w:p w14:paraId="101C511E">
      <w:pPr>
        <w:numPr>
          <w:ilvl w:val="0"/>
          <w:numId w:val="25"/>
        </w:numPr>
        <w:spacing w:line="360" w:lineRule="auto"/>
        <w:ind w:left="0" w:firstLine="420"/>
        <w:rPr>
          <w:rFonts w:ascii="Calibri" w:hAnsi="宋体"/>
          <w:sz w:val="24"/>
          <w:szCs w:val="24"/>
        </w:rPr>
      </w:pPr>
      <w:r>
        <w:rPr>
          <w:rFonts w:ascii="Calibri" w:hAnsi="宋体"/>
          <w:sz w:val="24"/>
          <w:szCs w:val="24"/>
        </w:rPr>
        <w:t>泵及附属设施结构材料的选用，应按照国家有关的标准及规范执行。对重要零部件的材料应向招标方提供化验分析报告的副本。</w:t>
      </w:r>
    </w:p>
    <w:p w14:paraId="05A72502">
      <w:pPr>
        <w:numPr>
          <w:ilvl w:val="0"/>
          <w:numId w:val="25"/>
        </w:numPr>
        <w:spacing w:line="360" w:lineRule="auto"/>
        <w:ind w:left="0" w:firstLine="420"/>
        <w:rPr>
          <w:rFonts w:ascii="Calibri" w:hAnsi="宋体"/>
          <w:sz w:val="24"/>
          <w:szCs w:val="24"/>
        </w:rPr>
      </w:pPr>
      <w:r>
        <w:rPr>
          <w:rFonts w:ascii="Calibri" w:hAnsi="宋体"/>
          <w:sz w:val="24"/>
          <w:szCs w:val="24"/>
        </w:rPr>
        <w:t>设备制造的焊接应符合国家标准要求，焊接件表面应进行清理，并保证焊透。</w:t>
      </w:r>
    </w:p>
    <w:p w14:paraId="65195252">
      <w:pPr>
        <w:keepNext/>
        <w:keepLines/>
        <w:widowControl w:val="0"/>
        <w:spacing w:beforeLines="0" w:beforeAutospacing="0" w:afterLines="0" w:afterAutospacing="0" w:line="360" w:lineRule="auto"/>
        <w:jc w:val="both"/>
        <w:outlineLvl w:val="1"/>
        <w:rPr>
          <w:rFonts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（5）其它</w:t>
      </w:r>
    </w:p>
    <w:p w14:paraId="1D05DD89">
      <w:pPr>
        <w:widowControl/>
        <w:spacing w:afterLines="0"/>
        <w:ind w:left="420" w:leftChars="200"/>
        <w:jc w:val="left"/>
        <w:rPr>
          <w:rFonts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t>（1）</w:t>
      </w:r>
      <w:r>
        <w:rPr>
          <w:rFonts w:ascii="Times New Roman" w:hAnsi="宋体" w:eastAsia="宋体" w:cs="Times New Roman"/>
          <w:kern w:val="0"/>
          <w:sz w:val="24"/>
          <w:szCs w:val="24"/>
          <w:lang w:val="en-US" w:eastAsia="zh-CN" w:bidi="ar-SA"/>
        </w:rPr>
        <w:t>泵</w:t>
      </w:r>
      <w:r>
        <w:rPr>
          <w:rFonts w:hint="eastAsia" w:ascii="Times New Roman" w:hAnsi="宋体" w:eastAsia="宋体" w:cs="Times New Roman"/>
          <w:kern w:val="0"/>
          <w:sz w:val="24"/>
          <w:szCs w:val="24"/>
          <w:lang w:val="en-US" w:eastAsia="zh-CN" w:bidi="ar-SA"/>
        </w:rPr>
        <w:t>、电机的</w:t>
      </w:r>
      <w:r>
        <w:rPr>
          <w:rFonts w:ascii="Times New Roman" w:hAnsi="宋体" w:eastAsia="宋体" w:cs="Times New Roman"/>
          <w:kern w:val="0"/>
          <w:sz w:val="24"/>
          <w:szCs w:val="24"/>
          <w:lang w:val="en-US" w:eastAsia="zh-CN" w:bidi="ar-SA"/>
        </w:rPr>
        <w:t>标记</w:t>
      </w:r>
    </w:p>
    <w:p w14:paraId="1FE114D9">
      <w:pPr>
        <w:spacing w:line="360" w:lineRule="auto"/>
        <w:ind w:firstLine="480"/>
        <w:rPr>
          <w:rFonts w:ascii="Calibri" w:hAnsi="Calibri"/>
          <w:sz w:val="24"/>
          <w:szCs w:val="24"/>
        </w:rPr>
      </w:pPr>
      <w:r>
        <w:rPr>
          <w:rFonts w:ascii="Calibri" w:hAnsi="Calibri"/>
          <w:sz w:val="24"/>
          <w:szCs w:val="24"/>
        </w:rPr>
        <w:t>每台</w:t>
      </w:r>
      <w:r>
        <w:rPr>
          <w:rFonts w:hint="eastAsia" w:ascii="Calibri" w:hAnsi="Calibri"/>
          <w:sz w:val="24"/>
          <w:szCs w:val="24"/>
        </w:rPr>
        <w:t>水泵</w:t>
      </w:r>
      <w:r>
        <w:rPr>
          <w:rFonts w:ascii="Calibri" w:hAnsi="Calibri"/>
          <w:sz w:val="24"/>
          <w:szCs w:val="24"/>
        </w:rPr>
        <w:t>都应分别有固定铭牌及转向标记，铭牌应耐腐蚀、抗老化，且安装在设备明显的位置上。铭牌尺寸及技术要求应符合国家标准的要求。</w:t>
      </w:r>
    </w:p>
    <w:p w14:paraId="220C5A18">
      <w:pPr>
        <w:widowControl/>
        <w:spacing w:afterLines="0"/>
        <w:ind w:left="0" w:leftChars="0" w:firstLine="420"/>
        <w:jc w:val="left"/>
        <w:rPr>
          <w:rFonts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t>（2）</w:t>
      </w:r>
      <w:r>
        <w:rPr>
          <w:rFonts w:ascii="Times New Roman" w:hAnsi="宋体" w:eastAsia="宋体" w:cs="Times New Roman"/>
          <w:kern w:val="0"/>
          <w:sz w:val="24"/>
          <w:szCs w:val="24"/>
          <w:lang w:val="en-US" w:eastAsia="zh-CN" w:bidi="ar-SA"/>
        </w:rPr>
        <w:t>泵、电机的涂漆应符合或优于JB/T4297-2008的规定。面漆颜色：按</w:t>
      </w:r>
      <w:r>
        <w:rPr>
          <w:rFonts w:hint="eastAsia" w:ascii="Times New Roman" w:hAnsi="宋体" w:eastAsia="宋体" w:cs="Times New Roman"/>
          <w:kern w:val="0"/>
          <w:sz w:val="24"/>
          <w:szCs w:val="24"/>
          <w:lang w:val="en-US" w:eastAsia="zh-CN" w:bidi="ar-SA"/>
        </w:rPr>
        <w:t>厂家常规颜色</w:t>
      </w:r>
      <w:r>
        <w:rPr>
          <w:rFonts w:ascii="Times New Roman" w:hAnsi="宋体" w:eastAsia="宋体" w:cs="Times New Roman"/>
          <w:kern w:val="0"/>
          <w:sz w:val="24"/>
          <w:szCs w:val="24"/>
          <w:lang w:val="en-US" w:eastAsia="zh-CN" w:bidi="ar-SA"/>
        </w:rPr>
        <w:t>执行。</w:t>
      </w:r>
    </w:p>
    <w:p w14:paraId="22720F44">
      <w:pPr>
        <w:widowControl/>
        <w:spacing w:afterLines="0"/>
        <w:ind w:left="420" w:leftChars="200"/>
        <w:jc w:val="left"/>
        <w:rPr>
          <w:rFonts w:ascii="Times New Roman" w:hAnsi="宋体" w:eastAsia="宋体" w:cs="Times New Roman"/>
          <w:kern w:val="0"/>
          <w:sz w:val="24"/>
          <w:szCs w:val="24"/>
          <w:lang w:val="en-US" w:eastAsia="zh-CN" w:bidi="ar-SA"/>
        </w:rPr>
      </w:pPr>
      <w:r>
        <w:rPr>
          <w:rFonts w:hint="eastAsia" w:ascii="Times New Roman" w:hAnsi="宋体" w:eastAsia="宋体" w:cs="Times New Roman"/>
          <w:kern w:val="0"/>
          <w:sz w:val="24"/>
          <w:szCs w:val="24"/>
          <w:lang w:val="en-US" w:eastAsia="zh-CN" w:bidi="ar-SA"/>
        </w:rPr>
        <w:t>（3）</w:t>
      </w:r>
      <w:r>
        <w:rPr>
          <w:rFonts w:ascii="Times New Roman" w:hAnsi="宋体" w:eastAsia="宋体" w:cs="Times New Roman"/>
          <w:kern w:val="0"/>
          <w:sz w:val="24"/>
          <w:szCs w:val="24"/>
          <w:lang w:val="en-US" w:eastAsia="zh-CN" w:bidi="ar-SA"/>
        </w:rPr>
        <w:t>设备运输和贮存措施</w:t>
      </w:r>
    </w:p>
    <w:p w14:paraId="2C36AA88">
      <w:pPr>
        <w:keepNext w:val="0"/>
        <w:keepLines w:val="0"/>
        <w:pageBreakBefore w:val="0"/>
        <w:widowControl/>
        <w:kinsoku/>
        <w:wordWrap/>
        <w:overflowPunct/>
        <w:topLinePunct w:val="0"/>
        <w:autoSpaceDE/>
        <w:autoSpaceDN/>
        <w:bidi w:val="0"/>
        <w:adjustRightInd/>
        <w:spacing w:afterLines="0" w:line="360" w:lineRule="auto"/>
        <w:ind w:left="0" w:leftChars="0" w:firstLine="420"/>
        <w:jc w:val="left"/>
        <w:textAlignment w:val="auto"/>
        <w:rPr>
          <w:rFonts w:ascii="Times New Roman" w:hAnsi="Times New Roman" w:eastAsia="宋体" w:cs="Times New Roman"/>
          <w:b/>
          <w:color w:val="FF0000"/>
          <w:kern w:val="0"/>
          <w:sz w:val="28"/>
          <w:szCs w:val="28"/>
          <w:highlight w:val="yellow"/>
          <w:lang w:val="en-US" w:eastAsia="zh-CN" w:bidi="ar-SA"/>
        </w:rPr>
      </w:pPr>
      <w:r>
        <w:rPr>
          <w:rFonts w:ascii="Times New Roman" w:hAnsi="宋体" w:eastAsia="宋体" w:cs="Times New Roman"/>
          <w:kern w:val="0"/>
          <w:sz w:val="24"/>
          <w:szCs w:val="24"/>
          <w:lang w:val="en-US" w:eastAsia="zh-CN" w:bidi="ar-SA"/>
        </w:rPr>
        <w:t>设备在装运前必须完全干燥</w:t>
      </w:r>
      <w:r>
        <w:rPr>
          <w:rFonts w:hint="eastAsia" w:ascii="Times New Roman" w:hAnsi="宋体" w:eastAsia="宋体" w:cs="Times New Roman"/>
          <w:kern w:val="0"/>
          <w:sz w:val="24"/>
          <w:szCs w:val="24"/>
          <w:lang w:val="en-US" w:eastAsia="zh-CN" w:bidi="ar-SA"/>
        </w:rPr>
        <w:t>，</w:t>
      </w:r>
      <w:r>
        <w:rPr>
          <w:rFonts w:ascii="Times New Roman" w:hAnsi="宋体" w:eastAsia="宋体" w:cs="Times New Roman"/>
          <w:kern w:val="0"/>
          <w:sz w:val="24"/>
          <w:szCs w:val="24"/>
          <w:lang w:val="en-US" w:eastAsia="zh-CN" w:bidi="ar-SA"/>
        </w:rPr>
        <w:t>所有的开孔及法兰接口等都必须加以保护，以免损伤、腐蚀或进入杂质</w:t>
      </w:r>
      <w:r>
        <w:rPr>
          <w:rFonts w:hint="eastAsia" w:ascii="Times New Roman" w:hAnsi="宋体" w:eastAsia="宋体" w:cs="Times New Roman"/>
          <w:kern w:val="0"/>
          <w:sz w:val="24"/>
          <w:szCs w:val="24"/>
          <w:lang w:val="en-US" w:eastAsia="zh-CN" w:bidi="ar-SA"/>
        </w:rPr>
        <w:t>。</w:t>
      </w:r>
    </w:p>
    <w:p w14:paraId="7E57FC17">
      <w:pPr>
        <w:keepNext w:val="0"/>
        <w:keepLines w:val="0"/>
        <w:pageBreakBefore w:val="0"/>
        <w:widowControl/>
        <w:kinsoku/>
        <w:wordWrap/>
        <w:overflowPunct/>
        <w:topLinePunct w:val="0"/>
        <w:autoSpaceDE/>
        <w:autoSpaceDN/>
        <w:bidi w:val="0"/>
        <w:adjustRightInd/>
        <w:spacing w:afterLines="0" w:line="360" w:lineRule="auto"/>
        <w:ind w:left="420" w:leftChars="200"/>
        <w:jc w:val="left"/>
        <w:textAlignment w:val="auto"/>
        <w:rPr>
          <w:rFonts w:ascii="宋体" w:hAnsi="宋体" w:eastAsia="宋体" w:cs="Times New Roman"/>
          <w:kern w:val="0"/>
          <w:sz w:val="24"/>
          <w:szCs w:val="36"/>
          <w:lang w:val="en-US" w:eastAsia="zh-CN" w:bidi="ar-SA"/>
        </w:rPr>
      </w:pPr>
      <w:r>
        <w:rPr>
          <w:rFonts w:hint="eastAsia" w:ascii="宋体" w:hAnsi="宋体" w:eastAsia="宋体" w:cs="Times New Roman"/>
          <w:kern w:val="0"/>
          <w:sz w:val="24"/>
          <w:szCs w:val="36"/>
          <w:lang w:val="en-US" w:eastAsia="zh-CN" w:bidi="ar-SA"/>
        </w:rPr>
        <w:t>供应商应提交下列资料但不限于以下内容：</w:t>
      </w:r>
    </w:p>
    <w:p w14:paraId="37C7D7FC">
      <w:pPr>
        <w:keepNext w:val="0"/>
        <w:keepLines w:val="0"/>
        <w:pageBreakBefore w:val="0"/>
        <w:widowControl/>
        <w:kinsoku/>
        <w:wordWrap/>
        <w:overflowPunct/>
        <w:topLinePunct w:val="0"/>
        <w:autoSpaceDE/>
        <w:autoSpaceDN/>
        <w:bidi w:val="0"/>
        <w:adjustRightInd/>
        <w:spacing w:afterLines="0" w:line="360" w:lineRule="auto"/>
        <w:ind w:left="420" w:leftChars="200"/>
        <w:jc w:val="left"/>
        <w:textAlignment w:val="auto"/>
        <w:rPr>
          <w:rFonts w:ascii="Times New Roman" w:hAnsi="Times New Roman" w:eastAsia="宋体" w:cs="Times New Roman"/>
          <w:b/>
          <w:color w:val="000000"/>
          <w:kern w:val="0"/>
          <w:sz w:val="24"/>
          <w:szCs w:val="24"/>
          <w:lang w:val="en-US" w:eastAsia="zh-CN" w:bidi="ar-SA"/>
        </w:rPr>
      </w:pPr>
      <w:r>
        <w:rPr>
          <w:rFonts w:hint="eastAsia" w:ascii="Times New Roman" w:hAnsi="Times New Roman" w:eastAsia="宋体" w:cs="Times New Roman"/>
          <w:b/>
          <w:color w:val="000000"/>
          <w:kern w:val="0"/>
          <w:sz w:val="24"/>
          <w:szCs w:val="24"/>
          <w:lang w:val="en-US" w:eastAsia="zh-CN" w:bidi="ar-SA"/>
        </w:rPr>
        <w:t>（1）泵的安装尺寸图</w:t>
      </w:r>
      <w:r>
        <w:rPr>
          <w:rFonts w:ascii="Times New Roman" w:hAnsi="Times New Roman" w:eastAsia="宋体" w:cs="Times New Roman"/>
          <w:b/>
          <w:color w:val="000000"/>
          <w:kern w:val="0"/>
          <w:sz w:val="24"/>
          <w:szCs w:val="24"/>
          <w:lang w:val="en-US" w:eastAsia="zh-CN" w:bidi="ar-SA"/>
        </w:rPr>
        <w:t>、电机的结构形式，进出水管方位</w:t>
      </w:r>
    </w:p>
    <w:p w14:paraId="63700DDC">
      <w:pPr>
        <w:keepNext w:val="0"/>
        <w:keepLines w:val="0"/>
        <w:pageBreakBefore w:val="0"/>
        <w:widowControl/>
        <w:kinsoku/>
        <w:wordWrap/>
        <w:overflowPunct/>
        <w:topLinePunct w:val="0"/>
        <w:autoSpaceDE/>
        <w:autoSpaceDN/>
        <w:bidi w:val="0"/>
        <w:adjustRightInd/>
        <w:spacing w:afterLines="0" w:line="360" w:lineRule="auto"/>
        <w:ind w:left="420" w:leftChars="200"/>
        <w:jc w:val="left"/>
        <w:textAlignment w:val="auto"/>
        <w:rPr>
          <w:rFonts w:ascii="Times New Roman" w:hAnsi="Times New Roman" w:eastAsia="宋体" w:cs="Times New Roman"/>
          <w:b/>
          <w:color w:val="000000"/>
          <w:kern w:val="0"/>
          <w:sz w:val="24"/>
          <w:szCs w:val="24"/>
          <w:lang w:val="en-US" w:eastAsia="zh-CN" w:bidi="ar-SA"/>
        </w:rPr>
      </w:pPr>
      <w:r>
        <w:rPr>
          <w:rFonts w:hint="eastAsia" w:ascii="Times New Roman" w:hAnsi="Times New Roman" w:eastAsia="宋体" w:cs="Times New Roman"/>
          <w:b/>
          <w:color w:val="000000"/>
          <w:kern w:val="0"/>
          <w:sz w:val="24"/>
          <w:szCs w:val="24"/>
          <w:lang w:val="en-US" w:eastAsia="zh-CN" w:bidi="ar-SA"/>
        </w:rPr>
        <w:t>（2）</w:t>
      </w:r>
      <w:r>
        <w:rPr>
          <w:rFonts w:ascii="Times New Roman" w:hAnsi="Times New Roman" w:eastAsia="宋体" w:cs="Times New Roman"/>
          <w:b/>
          <w:color w:val="000000"/>
          <w:kern w:val="0"/>
          <w:sz w:val="24"/>
          <w:szCs w:val="24"/>
          <w:lang w:val="en-US" w:eastAsia="zh-CN" w:bidi="ar-SA"/>
        </w:rPr>
        <w:t>泵特性曲线，包括水泵单泵特性曲线Q-H，Q-η，Q-N</w:t>
      </w:r>
    </w:p>
    <w:p w14:paraId="55321F57">
      <w:pPr>
        <w:keepNext w:val="0"/>
        <w:keepLines w:val="0"/>
        <w:pageBreakBefore w:val="0"/>
        <w:widowControl/>
        <w:kinsoku/>
        <w:wordWrap/>
        <w:overflowPunct/>
        <w:topLinePunct w:val="0"/>
        <w:autoSpaceDE/>
        <w:autoSpaceDN/>
        <w:bidi w:val="0"/>
        <w:adjustRightInd/>
        <w:spacing w:afterLines="0" w:line="360" w:lineRule="auto"/>
        <w:ind w:left="420" w:leftChars="200"/>
        <w:jc w:val="left"/>
        <w:textAlignment w:val="auto"/>
        <w:rPr>
          <w:rFonts w:ascii="Times New Roman" w:hAnsi="Times New Roman" w:eastAsia="宋体" w:cs="Times New Roman"/>
          <w:b/>
          <w:color w:val="000000"/>
          <w:kern w:val="0"/>
          <w:sz w:val="24"/>
          <w:szCs w:val="24"/>
          <w:lang w:val="en-US" w:eastAsia="zh-CN" w:bidi="ar-SA"/>
        </w:rPr>
      </w:pPr>
      <w:r>
        <w:rPr>
          <w:rFonts w:hint="eastAsia" w:ascii="Times New Roman" w:hAnsi="Times New Roman" w:eastAsia="宋体" w:cs="Times New Roman"/>
          <w:b/>
          <w:color w:val="000000"/>
          <w:kern w:val="0"/>
          <w:sz w:val="24"/>
          <w:szCs w:val="24"/>
          <w:lang w:val="en-US" w:eastAsia="zh-CN" w:bidi="ar-SA"/>
        </w:rPr>
        <w:t>（3）</w:t>
      </w:r>
      <w:r>
        <w:rPr>
          <w:rFonts w:ascii="Times New Roman" w:hAnsi="Times New Roman" w:eastAsia="宋体" w:cs="Times New Roman"/>
          <w:b/>
          <w:color w:val="000000"/>
          <w:kern w:val="0"/>
          <w:sz w:val="24"/>
          <w:szCs w:val="24"/>
          <w:lang w:val="en-US" w:eastAsia="zh-CN" w:bidi="ar-SA"/>
        </w:rPr>
        <w:t>泵、电机静荷载及动荷载、机组检修最大件重量</w:t>
      </w:r>
    </w:p>
    <w:p w14:paraId="609146E5">
      <w:pPr>
        <w:keepNext w:val="0"/>
        <w:keepLines w:val="0"/>
        <w:pageBreakBefore w:val="0"/>
        <w:widowControl/>
        <w:kinsoku/>
        <w:wordWrap/>
        <w:overflowPunct/>
        <w:topLinePunct w:val="0"/>
        <w:autoSpaceDE/>
        <w:autoSpaceDN/>
        <w:bidi w:val="0"/>
        <w:adjustRightInd/>
        <w:spacing w:afterLines="0" w:line="360" w:lineRule="auto"/>
        <w:ind w:left="420" w:leftChars="200"/>
        <w:jc w:val="left"/>
        <w:textAlignment w:val="auto"/>
        <w:rPr>
          <w:rFonts w:ascii="Times New Roman" w:hAnsi="Times New Roman" w:eastAsia="宋体" w:cs="Times New Roman"/>
          <w:b/>
          <w:color w:val="000000"/>
          <w:kern w:val="0"/>
          <w:sz w:val="24"/>
          <w:szCs w:val="24"/>
          <w:lang w:val="en-US" w:eastAsia="zh-CN" w:bidi="ar-SA"/>
        </w:rPr>
      </w:pPr>
      <w:r>
        <w:rPr>
          <w:rFonts w:hint="eastAsia" w:ascii="Times New Roman" w:hAnsi="Times New Roman" w:eastAsia="宋体" w:cs="Times New Roman"/>
          <w:b/>
          <w:color w:val="000000"/>
          <w:kern w:val="0"/>
          <w:sz w:val="24"/>
          <w:szCs w:val="24"/>
          <w:lang w:val="en-US" w:eastAsia="zh-CN" w:bidi="ar-SA"/>
        </w:rPr>
        <w:t>（4）</w:t>
      </w:r>
      <w:r>
        <w:rPr>
          <w:rFonts w:ascii="Times New Roman" w:hAnsi="Times New Roman" w:eastAsia="宋体" w:cs="Times New Roman"/>
          <w:b/>
          <w:color w:val="000000"/>
          <w:kern w:val="0"/>
          <w:sz w:val="24"/>
          <w:szCs w:val="24"/>
          <w:lang w:val="en-US" w:eastAsia="zh-CN" w:bidi="ar-SA"/>
        </w:rPr>
        <w:t>泵进、出口法兰标准及尺寸</w:t>
      </w:r>
    </w:p>
    <w:p w14:paraId="0983A3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lang w:val="en-US" w:eastAsia="zh-CN"/>
        </w:rPr>
        <w:t>5、隔膜计量泵</w:t>
      </w:r>
    </w:p>
    <w:p w14:paraId="6FC70A5D">
      <w:pPr>
        <w:spacing w:line="360" w:lineRule="auto"/>
        <w:ind w:firstLine="480"/>
        <w:rPr>
          <w:rFonts w:hint="eastAsia" w:ascii="宋体" w:hAnsi="宋体" w:cs="宋体"/>
          <w:sz w:val="24"/>
          <w:szCs w:val="24"/>
        </w:rPr>
      </w:pPr>
      <w:r>
        <w:rPr>
          <w:rFonts w:hint="eastAsia" w:ascii="宋体" w:hAnsi="宋体" w:cs="宋体"/>
          <w:sz w:val="24"/>
          <w:szCs w:val="24"/>
        </w:rPr>
        <w:t>加药计量泵应采用机械隔膜式计量泵，运行条件应满足PH3~12，常温，介质粘度&lt;500CPS，泵应采用变频器作为流量调节装置。</w:t>
      </w:r>
    </w:p>
    <w:p w14:paraId="1F99E105">
      <w:pPr>
        <w:spacing w:line="360" w:lineRule="auto"/>
        <w:ind w:firstLine="480"/>
        <w:rPr>
          <w:rFonts w:hint="eastAsia" w:ascii="宋体" w:hAnsi="宋体" w:cs="宋体"/>
          <w:sz w:val="24"/>
          <w:szCs w:val="24"/>
        </w:rPr>
      </w:pPr>
      <w:r>
        <w:rPr>
          <w:rFonts w:hint="eastAsia" w:ascii="宋体" w:hAnsi="宋体" w:cs="宋体"/>
          <w:sz w:val="24"/>
          <w:szCs w:val="24"/>
        </w:rPr>
        <w:t>隔膜式计量泵应为变容隔膜型，并具有可变冲程长度和可变转速的驱动系统电机速度（或电子控制，电磁操纵的可变冲程频率）。</w:t>
      </w:r>
    </w:p>
    <w:p w14:paraId="650359C0">
      <w:pPr>
        <w:spacing w:line="360" w:lineRule="auto"/>
        <w:ind w:firstLine="480"/>
        <w:rPr>
          <w:rFonts w:hint="eastAsia" w:ascii="宋体" w:hAnsi="宋体" w:cs="宋体"/>
          <w:sz w:val="24"/>
          <w:szCs w:val="24"/>
        </w:rPr>
      </w:pPr>
      <w:r>
        <w:rPr>
          <w:rFonts w:hint="eastAsia" w:ascii="宋体" w:hAnsi="宋体" w:cs="宋体"/>
          <w:sz w:val="24"/>
          <w:szCs w:val="24"/>
        </w:rPr>
        <w:t>机械驱动加药泵包含有齿轮装置，往复和可变冲程机构的主要泵体应放置在一个坚固金属壳体中，以保证刚性和正确对中。润滑应为油浴润滑，配有检查油位和顶端加油装置。</w:t>
      </w:r>
    </w:p>
    <w:p w14:paraId="01D47954">
      <w:pPr>
        <w:spacing w:line="360" w:lineRule="auto"/>
        <w:ind w:firstLine="480"/>
        <w:rPr>
          <w:rFonts w:hint="eastAsia" w:ascii="宋体" w:hAnsi="宋体" w:cs="宋体"/>
          <w:sz w:val="24"/>
          <w:szCs w:val="24"/>
        </w:rPr>
      </w:pPr>
      <w:r>
        <w:rPr>
          <w:rFonts w:hint="eastAsia" w:ascii="宋体" w:hAnsi="宋体" w:cs="宋体"/>
          <w:sz w:val="24"/>
          <w:szCs w:val="24"/>
        </w:rPr>
        <w:t>冲程长度可通过转动刻有百分比刻度的手轮从零到最大冲程范围进行和调节。</w:t>
      </w:r>
    </w:p>
    <w:p w14:paraId="7344845C">
      <w:pPr>
        <w:spacing w:line="360" w:lineRule="auto"/>
        <w:ind w:firstLine="480"/>
        <w:rPr>
          <w:rFonts w:hint="eastAsia" w:ascii="宋体" w:hAnsi="宋体" w:cs="宋体"/>
          <w:sz w:val="24"/>
          <w:szCs w:val="24"/>
        </w:rPr>
      </w:pPr>
      <w:r>
        <w:rPr>
          <w:rFonts w:hint="eastAsia" w:ascii="宋体" w:hAnsi="宋体" w:cs="宋体"/>
          <w:sz w:val="24"/>
          <w:szCs w:val="24"/>
        </w:rPr>
        <w:t>泵的驱动装置应为异步感应电机和齿轮减速装置（不得采用皮带驱动），可变速度应与被投加液体的流量成比例。</w:t>
      </w:r>
    </w:p>
    <w:p w14:paraId="4DB6BCE1">
      <w:pPr>
        <w:spacing w:line="360" w:lineRule="auto"/>
        <w:ind w:firstLine="480"/>
        <w:rPr>
          <w:rFonts w:hint="eastAsia" w:ascii="宋体" w:hAnsi="宋体" w:cs="宋体"/>
          <w:sz w:val="24"/>
          <w:szCs w:val="24"/>
        </w:rPr>
      </w:pPr>
      <w:r>
        <w:rPr>
          <w:rFonts w:hint="eastAsia" w:ascii="宋体" w:hAnsi="宋体" w:cs="宋体"/>
          <w:sz w:val="24"/>
          <w:szCs w:val="24"/>
        </w:rPr>
        <w:t>泵头为PVC，隔膜为PTFE，泵的旋转部件应作动平衡，并应采用合适的轴承以防不正常的振动。泵的材料应能</w:t>
      </w:r>
      <w:r>
        <w:rPr>
          <w:rFonts w:hint="eastAsia" w:ascii="宋体" w:hAnsi="宋体" w:cs="宋体"/>
          <w:sz w:val="24"/>
          <w:szCs w:val="24"/>
          <w:lang w:val="en-US" w:eastAsia="zh-CN"/>
        </w:rPr>
        <w:t>抵御</w:t>
      </w:r>
      <w:r>
        <w:rPr>
          <w:rFonts w:hint="eastAsia" w:ascii="宋体" w:hAnsi="宋体" w:cs="宋体"/>
          <w:sz w:val="24"/>
          <w:szCs w:val="24"/>
        </w:rPr>
        <w:t>化学腐蚀作用，隔膜应能适用连续运行。</w:t>
      </w:r>
    </w:p>
    <w:p w14:paraId="091AA618">
      <w:pPr>
        <w:spacing w:line="360" w:lineRule="auto"/>
        <w:ind w:firstLine="480"/>
        <w:rPr>
          <w:rFonts w:hint="eastAsia" w:ascii="宋体" w:hAnsi="宋体" w:cs="宋体"/>
          <w:sz w:val="24"/>
          <w:szCs w:val="24"/>
        </w:rPr>
      </w:pPr>
      <w:r>
        <w:rPr>
          <w:rFonts w:hint="eastAsia" w:ascii="宋体" w:hAnsi="宋体" w:cs="宋体"/>
          <w:sz w:val="24"/>
          <w:szCs w:val="24"/>
        </w:rPr>
        <w:t>泵的设计应使推力不传到驱动电机上，每台泵的出口应配套提供脉冲阻尼器，避免由于脉冲而造成管路振动。需要并联运行的泵组应为这种运行工况作好设计以确保负荷相等。</w:t>
      </w:r>
    </w:p>
    <w:p w14:paraId="283EE6F1">
      <w:pPr>
        <w:spacing w:line="360" w:lineRule="auto"/>
        <w:ind w:firstLine="480"/>
        <w:rPr>
          <w:rFonts w:hint="eastAsia" w:ascii="宋体" w:hAnsi="宋体" w:cs="宋体"/>
          <w:sz w:val="24"/>
          <w:szCs w:val="24"/>
        </w:rPr>
      </w:pPr>
      <w:r>
        <w:rPr>
          <w:rFonts w:hint="eastAsia" w:ascii="宋体" w:hAnsi="宋体" w:cs="宋体"/>
          <w:sz w:val="24"/>
          <w:szCs w:val="24"/>
        </w:rPr>
        <w:t>通常或偶然地与泵送化学物质接触的金属零件应为耐腐蚀不锈钢或经批准的其他耐腐蚀材料。</w:t>
      </w:r>
    </w:p>
    <w:p w14:paraId="4145DE00">
      <w:pPr>
        <w:spacing w:line="360" w:lineRule="auto"/>
        <w:ind w:firstLine="480"/>
        <w:rPr>
          <w:rFonts w:hint="eastAsia" w:ascii="宋体" w:hAnsi="宋体" w:cs="宋体"/>
          <w:sz w:val="24"/>
          <w:szCs w:val="24"/>
        </w:rPr>
      </w:pPr>
      <w:r>
        <w:rPr>
          <w:rFonts w:hint="eastAsia" w:ascii="宋体" w:hAnsi="宋体" w:cs="宋体"/>
          <w:sz w:val="24"/>
          <w:szCs w:val="24"/>
        </w:rPr>
        <w:t>泵体为铸铝材质。泵的阀门应为球型阀门，应为耐腐蚀材料和聚四氟乙烯或丁腈橡胶制作。受压零件应经150%的额定水压测试。进水管和出水管联接应用螺纹联接头联接。</w:t>
      </w:r>
    </w:p>
    <w:p w14:paraId="7DBDC629">
      <w:pPr>
        <w:spacing w:line="360" w:lineRule="auto"/>
        <w:ind w:firstLine="480"/>
        <w:rPr>
          <w:rFonts w:hint="eastAsia" w:ascii="宋体" w:hAnsi="宋体" w:cs="宋体"/>
          <w:sz w:val="24"/>
          <w:szCs w:val="24"/>
        </w:rPr>
      </w:pPr>
      <w:r>
        <w:rPr>
          <w:rFonts w:hint="eastAsia" w:ascii="宋体" w:hAnsi="宋体" w:cs="宋体"/>
          <w:sz w:val="24"/>
          <w:szCs w:val="24"/>
        </w:rPr>
        <w:t>冲程可调系统的精确度应在最大冲程长度2%之内。</w:t>
      </w:r>
    </w:p>
    <w:p w14:paraId="394D9FF2">
      <w:pPr>
        <w:spacing w:line="360" w:lineRule="auto"/>
        <w:ind w:firstLine="480"/>
        <w:rPr>
          <w:rFonts w:hint="eastAsia" w:ascii="宋体" w:hAnsi="宋体" w:cs="宋体"/>
          <w:sz w:val="24"/>
          <w:szCs w:val="24"/>
        </w:rPr>
      </w:pPr>
      <w:r>
        <w:rPr>
          <w:rFonts w:hint="eastAsia" w:ascii="宋体" w:hAnsi="宋体" w:cs="宋体"/>
          <w:sz w:val="24"/>
          <w:szCs w:val="24"/>
        </w:rPr>
        <w:t>驱动电动机应为法兰安装的异步感应电动机，适合电源380V，3相，50Hz，并具有IP55保护。</w:t>
      </w:r>
    </w:p>
    <w:p w14:paraId="4F3E5279">
      <w:pPr>
        <w:rPr>
          <w:rFonts w:hint="eastAsia" w:ascii="Times New Roman" w:hAnsi="Times New Roman" w:eastAsia="宋体" w:cs="Times New Roman"/>
          <w:b/>
          <w:bCs/>
          <w:sz w:val="24"/>
          <w:szCs w:val="20"/>
          <w:lang w:val="en-US" w:eastAsia="zh-CN"/>
        </w:rPr>
      </w:pPr>
      <w:r>
        <w:rPr>
          <w:rFonts w:hint="eastAsia" w:ascii="Times New Roman" w:hAnsi="Times New Roman" w:eastAsia="宋体" w:cs="Times New Roman"/>
          <w:b/>
          <w:bCs/>
          <w:sz w:val="24"/>
          <w:szCs w:val="20"/>
          <w:lang w:val="en-US" w:eastAsia="zh-CN"/>
        </w:rPr>
        <w:t>三、商务要求</w:t>
      </w:r>
    </w:p>
    <w:p w14:paraId="05F6443F">
      <w:pPr>
        <w:pageBreakBefore w:val="0"/>
        <w:kinsoku/>
        <w:wordWrap/>
        <w:overflowPunct/>
        <w:topLinePunct w:val="0"/>
        <w:bidi w:val="0"/>
        <w:adjustRightInd w:val="0"/>
        <w:snapToGrid w:val="0"/>
        <w:spacing w:line="360" w:lineRule="auto"/>
        <w:ind w:firstLine="420" w:firstLineChars="0"/>
        <w:rPr>
          <w:rFonts w:ascii="Times New Roman" w:hAnsi="Times New Roman" w:eastAsia="宋体" w:cs="Times New Roman"/>
          <w:sz w:val="24"/>
          <w:szCs w:val="20"/>
          <w:highlight w:val="none"/>
        </w:rPr>
      </w:pPr>
      <w:r>
        <w:rPr>
          <w:rFonts w:hint="eastAsia" w:ascii="Times New Roman" w:hAnsi="Times New Roman" w:eastAsia="宋体" w:cs="Times New Roman"/>
          <w:sz w:val="24"/>
          <w:szCs w:val="20"/>
          <w:lang w:val="en-US" w:eastAsia="zh-CN"/>
        </w:rPr>
        <w:t>1、</w:t>
      </w:r>
      <w:r>
        <w:rPr>
          <w:rFonts w:hint="eastAsia" w:ascii="Times New Roman" w:hAnsi="Times New Roman" w:eastAsia="宋体" w:cs="Times New Roman"/>
          <w:sz w:val="24"/>
          <w:szCs w:val="20"/>
        </w:rPr>
        <w:t>供货商必须派专业技术人员进行全程现场指导，费用包含在投标总价中，确保安装合格</w:t>
      </w:r>
      <w:r>
        <w:rPr>
          <w:rFonts w:hint="eastAsia" w:ascii="Times New Roman" w:hAnsi="Times New Roman" w:eastAsia="宋体" w:cs="Times New Roman"/>
          <w:sz w:val="24"/>
          <w:szCs w:val="20"/>
          <w:highlight w:val="none"/>
        </w:rPr>
        <w:t>。</w:t>
      </w:r>
    </w:p>
    <w:p w14:paraId="13831DE0">
      <w:pPr>
        <w:pageBreakBefore w:val="0"/>
        <w:kinsoku/>
        <w:wordWrap/>
        <w:overflowPunct/>
        <w:topLinePunct w:val="0"/>
        <w:bidi w:val="0"/>
        <w:adjustRightInd w:val="0"/>
        <w:snapToGrid w:val="0"/>
        <w:spacing w:line="360" w:lineRule="auto"/>
        <w:ind w:firstLine="420" w:firstLineChars="0"/>
        <w:rPr>
          <w:rFonts w:hint="eastAsia" w:ascii="宋体" w:hAnsi="宋体" w:eastAsia="宋体" w:cs="Times New Roman"/>
          <w:color w:val="000000"/>
          <w:sz w:val="24"/>
          <w:szCs w:val="22"/>
          <w:highlight w:val="none"/>
          <w:u w:val="none"/>
          <w:lang w:val="zh-CN"/>
        </w:rPr>
      </w:pPr>
      <w:r>
        <w:rPr>
          <w:rFonts w:hint="eastAsia" w:ascii="Times New Roman" w:hAnsi="Times New Roman" w:eastAsia="宋体" w:cs="Times New Roman"/>
          <w:sz w:val="24"/>
          <w:szCs w:val="20"/>
          <w:highlight w:val="none"/>
          <w:lang w:val="en-US" w:eastAsia="zh-CN"/>
        </w:rPr>
        <w:t>2、</w:t>
      </w:r>
      <w:r>
        <w:rPr>
          <w:rFonts w:hint="eastAsia" w:ascii="Times New Roman" w:hAnsi="Times New Roman" w:eastAsia="宋体" w:cs="Times New Roman"/>
          <w:sz w:val="24"/>
          <w:szCs w:val="20"/>
          <w:highlight w:val="none"/>
          <w:lang w:val="zh-CN"/>
        </w:rPr>
        <w:t>供货期：</w:t>
      </w:r>
      <w:r>
        <w:rPr>
          <w:rFonts w:hint="eastAsia" w:ascii="Times New Roman" w:hAnsi="Times New Roman" w:eastAsia="宋体" w:cs="Times New Roman"/>
          <w:color w:val="auto"/>
          <w:sz w:val="24"/>
          <w:szCs w:val="20"/>
          <w:highlight w:val="none"/>
          <w:u w:val="none"/>
          <w:lang w:val="en-US" w:eastAsia="zh-CN"/>
        </w:rPr>
        <w:t>分批供货，乙方在接到甲方的发货通知之日起4</w:t>
      </w:r>
      <w:r>
        <w:rPr>
          <w:rFonts w:hint="eastAsia" w:cs="Times New Roman"/>
          <w:color w:val="auto"/>
          <w:sz w:val="24"/>
          <w:szCs w:val="20"/>
          <w:highlight w:val="none"/>
          <w:u w:val="none"/>
          <w:lang w:val="en-US" w:eastAsia="zh-CN"/>
        </w:rPr>
        <w:t>0</w:t>
      </w:r>
      <w:r>
        <w:rPr>
          <w:rFonts w:hint="eastAsia" w:ascii="Times New Roman" w:hAnsi="Times New Roman" w:eastAsia="宋体" w:cs="Times New Roman"/>
          <w:color w:val="auto"/>
          <w:sz w:val="24"/>
          <w:szCs w:val="20"/>
          <w:highlight w:val="none"/>
          <w:u w:val="none"/>
          <w:lang w:val="en-US" w:eastAsia="zh-CN"/>
        </w:rPr>
        <w:t>天内完成供货</w:t>
      </w:r>
      <w:r>
        <w:rPr>
          <w:rFonts w:hint="eastAsia" w:ascii="宋体" w:hAnsi="宋体" w:eastAsia="宋体" w:cs="Times New Roman"/>
          <w:color w:val="000000"/>
          <w:sz w:val="24"/>
          <w:szCs w:val="22"/>
          <w:highlight w:val="none"/>
          <w:u w:val="none"/>
          <w:lang w:val="zh-CN"/>
        </w:rPr>
        <w:t>（具体交货期限接</w:t>
      </w:r>
      <w:r>
        <w:rPr>
          <w:rFonts w:hint="eastAsia" w:ascii="宋体" w:hAnsi="宋体" w:eastAsia="宋体" w:cs="Times New Roman"/>
          <w:color w:val="000000"/>
          <w:sz w:val="24"/>
          <w:szCs w:val="22"/>
          <w:highlight w:val="none"/>
          <w:u w:val="none"/>
          <w:lang w:val="en-US" w:eastAsia="zh-CN"/>
        </w:rPr>
        <w:t>招标人</w:t>
      </w:r>
      <w:r>
        <w:rPr>
          <w:rFonts w:hint="eastAsia" w:ascii="宋体" w:hAnsi="宋体" w:eastAsia="宋体" w:cs="Times New Roman"/>
          <w:color w:val="000000"/>
          <w:sz w:val="24"/>
          <w:szCs w:val="22"/>
          <w:highlight w:val="none"/>
          <w:u w:val="none"/>
          <w:lang w:val="zh-CN"/>
        </w:rPr>
        <w:t>的通知，否则后果一切自负）。如延误交货或中断供货将承担违约责任。</w:t>
      </w:r>
    </w:p>
    <w:p w14:paraId="01ECEACE">
      <w:pPr>
        <w:keepNext w:val="0"/>
        <w:keepLines w:val="0"/>
        <w:pageBreakBefore w:val="0"/>
        <w:widowControl w:val="0"/>
        <w:kinsoku/>
        <w:wordWrap/>
        <w:overflowPunct/>
        <w:topLinePunct w:val="0"/>
        <w:autoSpaceDE/>
        <w:autoSpaceDN/>
        <w:bidi w:val="0"/>
        <w:adjustRightInd w:val="0"/>
        <w:snapToGrid w:val="0"/>
        <w:spacing w:line="360" w:lineRule="auto"/>
        <w:ind w:firstLine="490"/>
        <w:jc w:val="both"/>
        <w:textAlignment w:val="auto"/>
        <w:rPr>
          <w:rFonts w:hint="eastAsia" w:ascii="??" w:hAnsi="??" w:eastAsia="宋体" w:cs="宋体"/>
          <w:color w:val="auto"/>
          <w:kern w:val="0"/>
          <w:sz w:val="24"/>
          <w:szCs w:val="22"/>
          <w:highlight w:val="none"/>
          <w:u w:val="none"/>
          <w:lang w:val="en-US" w:eastAsia="zh-CN" w:bidi="ar-SA"/>
        </w:rPr>
      </w:pPr>
      <w:r>
        <w:rPr>
          <w:rFonts w:hint="eastAsia" w:ascii="??" w:hAnsi="??" w:eastAsia="宋体" w:cs="宋体"/>
          <w:color w:val="auto"/>
          <w:kern w:val="0"/>
          <w:sz w:val="24"/>
          <w:szCs w:val="22"/>
          <w:highlight w:val="none"/>
          <w:u w:val="none"/>
          <w:lang w:val="en-US" w:eastAsia="zh-CN" w:bidi="ar-SA"/>
        </w:rPr>
        <w:t>如乙方逾期交货，除不可抗力外，乙方向甲方就逾期交货部分支付违约金，具体支付比例如下：</w:t>
      </w:r>
    </w:p>
    <w:p w14:paraId="77A127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both"/>
        <w:textAlignment w:val="auto"/>
        <w:rPr>
          <w:rFonts w:hint="eastAsia" w:ascii="??" w:hAnsi="??" w:eastAsia="宋体" w:cs="宋体"/>
          <w:color w:val="auto"/>
          <w:kern w:val="0"/>
          <w:sz w:val="24"/>
          <w:szCs w:val="22"/>
          <w:highlight w:val="none"/>
          <w:u w:val="none"/>
          <w:lang w:val="en-US" w:eastAsia="zh-CN" w:bidi="ar-SA"/>
        </w:rPr>
      </w:pPr>
      <w:r>
        <w:rPr>
          <w:rFonts w:hint="eastAsia" w:ascii="??" w:hAnsi="??" w:eastAsia="宋体" w:cs="宋体"/>
          <w:color w:val="auto"/>
          <w:kern w:val="0"/>
          <w:sz w:val="24"/>
          <w:szCs w:val="22"/>
          <w:highlight w:val="none"/>
          <w:u w:val="none"/>
          <w:lang w:val="en-US" w:eastAsia="zh-CN" w:bidi="ar-SA"/>
        </w:rPr>
        <w:t>迟交1～3天，每天违约金金额为逾期交货部分总价款的千分之三；</w:t>
      </w:r>
    </w:p>
    <w:p w14:paraId="0EC0F0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both"/>
        <w:textAlignment w:val="auto"/>
        <w:rPr>
          <w:rFonts w:hint="eastAsia" w:ascii="??" w:hAnsi="??" w:eastAsia="宋体" w:cs="宋体"/>
          <w:color w:val="auto"/>
          <w:kern w:val="0"/>
          <w:sz w:val="24"/>
          <w:szCs w:val="22"/>
          <w:highlight w:val="none"/>
          <w:u w:val="none"/>
          <w:lang w:val="en-US" w:eastAsia="zh-CN" w:bidi="ar-SA"/>
        </w:rPr>
      </w:pPr>
      <w:r>
        <w:rPr>
          <w:rFonts w:hint="eastAsia" w:ascii="??" w:hAnsi="??" w:eastAsia="宋体" w:cs="宋体"/>
          <w:color w:val="auto"/>
          <w:kern w:val="0"/>
          <w:sz w:val="24"/>
          <w:szCs w:val="22"/>
          <w:highlight w:val="none"/>
          <w:u w:val="none"/>
          <w:lang w:val="en-US" w:eastAsia="zh-CN" w:bidi="ar-SA"/>
        </w:rPr>
        <w:t>迟交4～7天，每天违约金金额为逾期交货部分总价款的千分之五；</w:t>
      </w:r>
    </w:p>
    <w:p w14:paraId="5ACDF4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both"/>
        <w:textAlignment w:val="auto"/>
        <w:rPr>
          <w:rFonts w:hint="eastAsia" w:ascii="??" w:hAnsi="??" w:eastAsia="宋体" w:cs="宋体"/>
          <w:color w:val="auto"/>
          <w:kern w:val="0"/>
          <w:sz w:val="24"/>
          <w:szCs w:val="22"/>
          <w:highlight w:val="none"/>
          <w:u w:val="none"/>
          <w:lang w:val="en-US" w:eastAsia="zh-CN" w:bidi="ar-SA"/>
        </w:rPr>
      </w:pPr>
      <w:r>
        <w:rPr>
          <w:rFonts w:hint="eastAsia" w:ascii="??" w:hAnsi="??" w:eastAsia="宋体" w:cs="宋体"/>
          <w:color w:val="auto"/>
          <w:kern w:val="0"/>
          <w:sz w:val="24"/>
          <w:szCs w:val="22"/>
          <w:highlight w:val="none"/>
          <w:u w:val="none"/>
          <w:lang w:val="en-US" w:eastAsia="zh-CN" w:bidi="ar-SA"/>
        </w:rPr>
        <w:t>迟交8～15天，每天违约金金额为逾期交货部分总价款的千分之八，如因此严重延误施工工期的，则视为乙方不履行合同。 </w:t>
      </w:r>
      <w:r>
        <w:rPr>
          <w:rFonts w:hint="eastAsia" w:ascii="??" w:hAnsi="??" w:eastAsia="宋体" w:cs="宋体"/>
          <w:color w:val="auto"/>
          <w:kern w:val="0"/>
          <w:sz w:val="24"/>
          <w:szCs w:val="22"/>
          <w:highlight w:val="none"/>
          <w:u w:val="none"/>
          <w:lang w:val="en-US" w:eastAsia="zh-CN" w:bidi="ar-SA"/>
        </w:rPr>
        <w:br w:type="textWrapping"/>
      </w:r>
      <w:r>
        <w:rPr>
          <w:rFonts w:hint="eastAsia" w:ascii="??" w:hAnsi="??" w:eastAsia="宋体" w:cs="宋体"/>
          <w:color w:val="auto"/>
          <w:kern w:val="0"/>
          <w:sz w:val="24"/>
          <w:szCs w:val="22"/>
          <w:highlight w:val="none"/>
          <w:u w:val="none"/>
          <w:lang w:val="en-US" w:eastAsia="zh-CN" w:bidi="ar-SA"/>
        </w:rPr>
        <w:tab/>
      </w:r>
      <w:r>
        <w:rPr>
          <w:rFonts w:hint="eastAsia" w:ascii="??" w:hAnsi="??" w:eastAsia="宋体" w:cs="宋体"/>
          <w:color w:val="auto"/>
          <w:kern w:val="0"/>
          <w:sz w:val="24"/>
          <w:szCs w:val="22"/>
          <w:highlight w:val="none"/>
          <w:u w:val="none"/>
          <w:lang w:val="en-US" w:eastAsia="zh-CN" w:bidi="ar-SA"/>
        </w:rPr>
        <w:t>乙方逾期交货超过15天以上的视为乙方不履行合同。甲方将解除合同，扣除违约金及履约保证金，违约金金额为每天逾期交货部分总价款的千分之八，天数从下单日起到甲方完成下一次招标流程止。</w:t>
      </w:r>
    </w:p>
    <w:p w14:paraId="0B889FD7">
      <w:pPr>
        <w:keepNext w:val="0"/>
        <w:keepLines w:val="0"/>
        <w:pageBreakBefore w:val="0"/>
        <w:widowControl w:val="0"/>
        <w:kinsoku/>
        <w:wordWrap/>
        <w:overflowPunct/>
        <w:topLinePunct w:val="0"/>
        <w:autoSpaceDE/>
        <w:autoSpaceDN/>
        <w:bidi w:val="0"/>
        <w:adjustRightInd w:val="0"/>
        <w:snapToGrid w:val="0"/>
        <w:spacing w:line="360" w:lineRule="auto"/>
        <w:ind w:firstLine="490"/>
        <w:jc w:val="both"/>
        <w:textAlignment w:val="auto"/>
        <w:rPr>
          <w:rFonts w:hint="eastAsia" w:ascii="??" w:hAnsi="??" w:eastAsia="宋体" w:cs="宋体"/>
          <w:color w:val="auto"/>
          <w:kern w:val="0"/>
          <w:sz w:val="24"/>
          <w:szCs w:val="22"/>
          <w:highlight w:val="none"/>
          <w:u w:val="none"/>
          <w:lang w:val="en-US" w:eastAsia="zh-CN" w:bidi="ar-SA"/>
        </w:rPr>
      </w:pPr>
      <w:r>
        <w:rPr>
          <w:rFonts w:hint="eastAsia" w:ascii="??" w:hAnsi="??" w:eastAsia="宋体" w:cs="宋体"/>
          <w:color w:val="auto"/>
          <w:kern w:val="0"/>
          <w:sz w:val="24"/>
          <w:szCs w:val="22"/>
          <w:highlight w:val="none"/>
          <w:u w:val="none"/>
          <w:lang w:val="en-US" w:eastAsia="zh-CN" w:bidi="ar-SA"/>
        </w:rPr>
        <w:t>如乙方不按照甲方要求将合同货物送达甲方指定地点的，每次支付违约金为逾期交货部分总价款的千分之八，情节严重的按违约处理，甲方将终止合同，同时对乙方处以扣除履约保证金的违约处罚。</w:t>
      </w:r>
    </w:p>
    <w:p w14:paraId="54458B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ascii="Times New Roman" w:hAnsi="Times New Roman" w:eastAsia="宋体" w:cs="Times New Roman"/>
          <w:sz w:val="24"/>
          <w:szCs w:val="20"/>
          <w:highlight w:val="none"/>
          <w:lang w:val="zh-CN"/>
        </w:rPr>
      </w:pPr>
      <w:r>
        <w:rPr>
          <w:rFonts w:hint="eastAsia" w:ascii="Times New Roman" w:hAnsi="Times New Roman" w:eastAsia="宋体" w:cs="Times New Roman"/>
          <w:sz w:val="24"/>
          <w:szCs w:val="20"/>
          <w:highlight w:val="none"/>
          <w:lang w:val="en-US" w:eastAsia="zh-CN"/>
        </w:rPr>
        <w:t>3、</w:t>
      </w:r>
      <w:r>
        <w:rPr>
          <w:rFonts w:hint="eastAsia" w:ascii="Times New Roman" w:hAnsi="Times New Roman" w:eastAsia="宋体" w:cs="Times New Roman"/>
          <w:sz w:val="24"/>
          <w:szCs w:val="20"/>
          <w:highlight w:val="none"/>
          <w:lang w:val="zh-CN"/>
        </w:rPr>
        <w:t>供货地点</w:t>
      </w:r>
      <w:r>
        <w:rPr>
          <w:rFonts w:hint="eastAsia" w:ascii="Times New Roman" w:hAnsi="Times New Roman" w:eastAsia="宋体" w:cs="Times New Roman"/>
          <w:sz w:val="24"/>
          <w:szCs w:val="20"/>
          <w:highlight w:val="none"/>
          <w:lang w:val="en-US" w:eastAsia="zh-CN"/>
        </w:rPr>
        <w:t>及方式</w:t>
      </w:r>
      <w:r>
        <w:rPr>
          <w:rFonts w:hint="eastAsia" w:ascii="Times New Roman" w:hAnsi="Times New Roman" w:eastAsia="宋体" w:cs="Times New Roman"/>
          <w:sz w:val="24"/>
          <w:szCs w:val="20"/>
          <w:highlight w:val="none"/>
          <w:lang w:val="zh-CN"/>
        </w:rPr>
        <w:t>：</w:t>
      </w:r>
      <w:r>
        <w:rPr>
          <w:rFonts w:hint="eastAsia" w:ascii="Times New Roman" w:hAnsi="Times New Roman" w:eastAsia="宋体" w:cs="Times New Roman"/>
          <w:sz w:val="24"/>
          <w:szCs w:val="20"/>
          <w:highlight w:val="none"/>
          <w:lang w:val="en-US" w:eastAsia="zh-CN"/>
        </w:rPr>
        <w:t>送至甲方指定位置，运输、保险及装卸费用由乙方承担</w:t>
      </w:r>
      <w:r>
        <w:rPr>
          <w:rFonts w:hint="eastAsia" w:ascii="Times New Roman" w:hAnsi="Times New Roman" w:eastAsia="宋体" w:cs="Times New Roman"/>
          <w:sz w:val="24"/>
          <w:szCs w:val="20"/>
          <w:highlight w:val="none"/>
          <w:lang w:val="zh-CN"/>
        </w:rPr>
        <w:t>。</w:t>
      </w:r>
    </w:p>
    <w:p w14:paraId="6CFD44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ascii="Times New Roman" w:hAnsi="Times New Roman" w:eastAsia="宋体" w:cs="Times New Roman"/>
          <w:sz w:val="24"/>
          <w:szCs w:val="20"/>
          <w:highlight w:val="none"/>
          <w:lang w:val="zh-CN"/>
        </w:rPr>
      </w:pPr>
      <w:r>
        <w:rPr>
          <w:rFonts w:hint="eastAsia" w:ascii="Times New Roman" w:hAnsi="Times New Roman" w:eastAsia="宋体" w:cs="Times New Roman"/>
          <w:sz w:val="24"/>
          <w:szCs w:val="20"/>
          <w:highlight w:val="none"/>
          <w:lang w:val="en-US" w:eastAsia="zh-CN"/>
        </w:rPr>
        <w:t>4、</w:t>
      </w:r>
      <w:r>
        <w:rPr>
          <w:rFonts w:hint="eastAsia" w:ascii="Times New Roman" w:hAnsi="Times New Roman" w:eastAsia="宋体" w:cs="Times New Roman"/>
          <w:sz w:val="24"/>
          <w:szCs w:val="20"/>
          <w:highlight w:val="none"/>
          <w:lang w:val="zh-CN"/>
        </w:rPr>
        <w:t>质保期：</w:t>
      </w:r>
      <w:r>
        <w:rPr>
          <w:rFonts w:hint="eastAsia" w:ascii="Times New Roman" w:hAnsi="Times New Roman" w:eastAsia="宋体" w:cs="Times New Roman"/>
          <w:sz w:val="24"/>
          <w:szCs w:val="20"/>
          <w:highlight w:val="none"/>
          <w:lang w:val="en-US" w:eastAsia="zh-CN"/>
        </w:rPr>
        <w:t>应</w:t>
      </w:r>
      <w:r>
        <w:rPr>
          <w:rFonts w:ascii="Times New Roman" w:hAnsi="Times New Roman" w:eastAsia="宋体" w:cs="Times New Roman"/>
          <w:sz w:val="24"/>
          <w:szCs w:val="20"/>
          <w:highlight w:val="none"/>
        </w:rPr>
        <w:t>提供不低于</w:t>
      </w:r>
      <w:r>
        <w:rPr>
          <w:rFonts w:hint="eastAsia" w:ascii="宋体" w:hAnsi="宋体" w:eastAsia="宋体" w:cs="宋体"/>
          <w:b/>
          <w:bCs/>
          <w:sz w:val="24"/>
          <w:szCs w:val="20"/>
          <w:highlight w:val="none"/>
          <w:u w:val="single"/>
          <w:lang w:val="en-US" w:eastAsia="zh-CN"/>
        </w:rPr>
        <w:t>1</w:t>
      </w:r>
      <w:r>
        <w:rPr>
          <w:rFonts w:hint="eastAsia" w:ascii="宋体" w:hAnsi="宋体" w:eastAsia="宋体" w:cs="宋体"/>
          <w:b w:val="0"/>
          <w:bCs w:val="0"/>
          <w:sz w:val="24"/>
          <w:szCs w:val="20"/>
          <w:highlight w:val="none"/>
          <w:u w:val="none"/>
        </w:rPr>
        <w:t>年</w:t>
      </w:r>
      <w:r>
        <w:rPr>
          <w:rFonts w:ascii="Times New Roman" w:hAnsi="Times New Roman" w:eastAsia="宋体" w:cs="Times New Roman"/>
          <w:sz w:val="24"/>
          <w:szCs w:val="20"/>
          <w:highlight w:val="none"/>
        </w:rPr>
        <w:t>的免费质保，一律从设备安装调试验收合格之日起算</w:t>
      </w:r>
      <w:r>
        <w:rPr>
          <w:rFonts w:hint="eastAsia" w:ascii="Times New Roman" w:hAnsi="Times New Roman" w:eastAsia="宋体" w:cs="Times New Roman"/>
          <w:sz w:val="24"/>
          <w:szCs w:val="20"/>
          <w:highlight w:val="none"/>
        </w:rPr>
        <w:t>。</w:t>
      </w:r>
    </w:p>
    <w:p w14:paraId="10CB3F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Times New Roman" w:hAnsi="Times New Roman" w:eastAsia="宋体" w:cs="Times New Roman"/>
          <w:sz w:val="24"/>
          <w:szCs w:val="20"/>
          <w:highlight w:val="none"/>
          <w:lang w:val="zh-CN"/>
        </w:rPr>
      </w:pPr>
      <w:r>
        <w:rPr>
          <w:rFonts w:hint="eastAsia" w:ascii="Times New Roman" w:hAnsi="Times New Roman" w:eastAsia="宋体" w:cs="Times New Roman"/>
          <w:sz w:val="24"/>
          <w:szCs w:val="20"/>
          <w:highlight w:val="none"/>
          <w:lang w:val="en-US" w:eastAsia="zh-CN"/>
        </w:rPr>
        <w:t>5、</w:t>
      </w:r>
      <w:r>
        <w:rPr>
          <w:rFonts w:hint="eastAsia" w:ascii="Times New Roman" w:hAnsi="Times New Roman" w:eastAsia="宋体" w:cs="Times New Roman"/>
          <w:sz w:val="24"/>
          <w:szCs w:val="20"/>
          <w:highlight w:val="none"/>
          <w:lang w:val="zh-CN"/>
        </w:rPr>
        <w:t>付款方式：</w:t>
      </w:r>
    </w:p>
    <w:p w14:paraId="6705B4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Times New Roman" w:hAnsi="Times New Roman" w:eastAsia="宋体" w:cs="Times New Roman"/>
          <w:sz w:val="24"/>
          <w:szCs w:val="24"/>
        </w:rPr>
      </w:pPr>
      <w:r>
        <w:rPr>
          <w:rFonts w:hint="eastAsia" w:ascii="宋体" w:hAnsi="宋体"/>
          <w:color w:val="000000"/>
          <w:sz w:val="24"/>
          <w:szCs w:val="24"/>
          <w:highlight w:val="none"/>
          <w:lang w:eastAsia="zh-CN"/>
        </w:rPr>
        <w:t>（1）</w:t>
      </w:r>
      <w:r>
        <w:rPr>
          <w:rFonts w:hint="eastAsia" w:ascii="宋体" w:hAnsi="宋体"/>
          <w:sz w:val="24"/>
          <w:szCs w:val="22"/>
          <w:highlight w:val="none"/>
          <w:lang w:eastAsia="zh-CN"/>
        </w:rPr>
        <w:t>设备运送至</w:t>
      </w:r>
      <w:r>
        <w:rPr>
          <w:rFonts w:hint="eastAsia" w:ascii="宋体" w:hAnsi="宋体"/>
          <w:sz w:val="24"/>
          <w:szCs w:val="22"/>
          <w:highlight w:val="none"/>
          <w:lang w:val="en-US" w:eastAsia="zh-CN"/>
        </w:rPr>
        <w:t>甲方指定的施工现场或设备仓库，经甲乙双方检查合格并签署到货验收单后，乙方需在当月25日前开具所供货物的全</w:t>
      </w:r>
      <w:r>
        <w:rPr>
          <w:rFonts w:hint="eastAsia" w:ascii="宋体" w:hAnsi="宋体"/>
          <w:sz w:val="24"/>
          <w:szCs w:val="22"/>
          <w:lang w:val="en-US" w:eastAsia="zh-CN"/>
        </w:rPr>
        <w:t>额增值税税务发票（附上送货签收回单），甲方在收到发票之日起30天内支付发票金额40%的货款。（2）设备正常运行，安装调试验收合格后，甲方在30天内支付所供货物发票金额20%的款项。（3）设备连续稳定运行三个月且无质量问题后，甲方支付30</w:t>
      </w:r>
      <w:r>
        <w:rPr>
          <w:rFonts w:hint="eastAsia" w:ascii="宋体" w:hAnsi="宋体"/>
          <w:color w:val="000000"/>
          <w:sz w:val="24"/>
          <w:szCs w:val="24"/>
          <w:lang w:val="en-US" w:eastAsia="zh-CN"/>
        </w:rPr>
        <w:t>%的货款。（4）余款10%作为质保金，</w:t>
      </w:r>
      <w:r>
        <w:rPr>
          <w:rFonts w:hint="eastAsia" w:ascii="宋体" w:hAnsi="宋体"/>
          <w:sz w:val="24"/>
          <w:szCs w:val="22"/>
          <w:lang w:val="en-US" w:eastAsia="zh-CN"/>
        </w:rPr>
        <w:t xml:space="preserve">在质保期满且无质量问题的情况下，甲方于三十日内一次性付清。 </w:t>
      </w:r>
      <w:r>
        <w:rPr>
          <w:rFonts w:hint="eastAsia" w:ascii="Times New Roman" w:hAnsi="Times New Roman" w:eastAsia="宋体" w:cs="Times New Roman"/>
          <w:sz w:val="24"/>
          <w:szCs w:val="24"/>
        </w:rPr>
        <w:t>（由于财政结算等流程设计问题，特殊情况结算会滞后）</w:t>
      </w:r>
    </w:p>
    <w:p w14:paraId="40F7FF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both"/>
        <w:textAlignment w:val="auto"/>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6、履约保证金形式：</w:t>
      </w:r>
      <w:r>
        <w:rPr>
          <w:rFonts w:hint="eastAsia" w:ascii="宋体" w:hAnsi="宋体" w:eastAsia="宋体" w:cs="Times New Roman"/>
          <w:kern w:val="2"/>
          <w:sz w:val="24"/>
          <w:szCs w:val="22"/>
          <w:u w:val="single"/>
          <w:lang w:val="en-US" w:eastAsia="zh-CN" w:bidi="ar-SA"/>
        </w:rPr>
        <w:t>履约保证金或者银行保函。</w:t>
      </w:r>
    </w:p>
    <w:p w14:paraId="4F1CBF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ascii="宋体" w:hAnsi="宋体" w:eastAsia="宋体" w:cs="Times New Roman"/>
          <w:sz w:val="24"/>
          <w:szCs w:val="20"/>
        </w:rPr>
      </w:pPr>
      <w:r>
        <w:rPr>
          <w:rFonts w:hint="eastAsia" w:ascii="宋体" w:hAnsi="宋体" w:eastAsia="宋体" w:cs="Times New Roman"/>
          <w:sz w:val="24"/>
          <w:szCs w:val="20"/>
        </w:rPr>
        <w:t>注：若乙方缴纳履约保证金的形式为开具银行保函，需确保保函有效期覆盖合同期。若合同在执行过程中保函即将过期，乙方需提前一个月重新开具银行保函交至甲方，否则甲方将停付进度款。</w:t>
      </w:r>
    </w:p>
    <w:p w14:paraId="7BEC72A9">
      <w:pPr>
        <w:pageBreakBefore w:val="0"/>
        <w:kinsoku/>
        <w:wordWrap/>
        <w:overflowPunct/>
        <w:topLinePunct w:val="0"/>
        <w:bidi w:val="0"/>
        <w:adjustRightInd w:val="0"/>
        <w:snapToGrid w:val="0"/>
        <w:spacing w:line="360" w:lineRule="auto"/>
        <w:ind w:firstLine="420" w:firstLineChars="0"/>
        <w:rPr>
          <w:rFonts w:ascii="Times New Roman" w:hAnsi="Times New Roman" w:eastAsia="宋体" w:cs="Times New Roman"/>
          <w:szCs w:val="20"/>
        </w:rPr>
      </w:pPr>
      <w:r>
        <w:rPr>
          <w:rFonts w:hint="eastAsia" w:ascii="Times New Roman" w:hAnsi="Times New Roman" w:eastAsia="宋体" w:cs="Times New Roman"/>
          <w:sz w:val="24"/>
          <w:szCs w:val="20"/>
          <w:lang w:val="en-US" w:eastAsia="zh-CN"/>
        </w:rPr>
        <w:t>7、</w:t>
      </w:r>
      <w:r>
        <w:rPr>
          <w:rFonts w:hint="eastAsia" w:ascii="Times New Roman" w:hAnsi="Times New Roman" w:eastAsia="宋体" w:cs="Times New Roman"/>
          <w:sz w:val="24"/>
          <w:szCs w:val="20"/>
        </w:rPr>
        <w:t>履约保证金的退还：</w:t>
      </w:r>
      <w:r>
        <w:rPr>
          <w:rFonts w:hint="eastAsia" w:ascii="Times New Roman" w:hAnsi="Times New Roman" w:eastAsia="宋体" w:cs="Times New Roman"/>
          <w:sz w:val="24"/>
          <w:szCs w:val="20"/>
          <w:lang w:val="en-US" w:eastAsia="zh-CN"/>
        </w:rPr>
        <w:t>于</w:t>
      </w:r>
      <w:r>
        <w:rPr>
          <w:rFonts w:hint="eastAsia" w:ascii="宋体" w:hAnsi="宋体" w:eastAsia="宋体" w:cs="Times New Roman"/>
          <w:sz w:val="24"/>
          <w:szCs w:val="20"/>
          <w:u w:val="none"/>
        </w:rPr>
        <w:t>设备</w:t>
      </w:r>
      <w:r>
        <w:rPr>
          <w:rFonts w:hint="eastAsia" w:ascii="宋体" w:hAnsi="宋体" w:eastAsia="宋体" w:cs="Times New Roman"/>
          <w:sz w:val="24"/>
          <w:szCs w:val="20"/>
          <w:u w:val="none"/>
          <w:lang w:val="en-US" w:eastAsia="zh-CN"/>
        </w:rPr>
        <w:t>安装调试验收合格</w:t>
      </w:r>
      <w:r>
        <w:rPr>
          <w:rFonts w:hint="eastAsia" w:ascii="宋体" w:hAnsi="宋体" w:eastAsia="宋体" w:cs="Times New Roman"/>
          <w:sz w:val="24"/>
          <w:szCs w:val="20"/>
          <w:u w:val="none"/>
        </w:rPr>
        <w:t>后无息退还。</w:t>
      </w:r>
    </w:p>
    <w:p w14:paraId="0B6E7435">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四、有关说明</w:t>
      </w:r>
    </w:p>
    <w:p w14:paraId="17D7E6E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本采购文件中有关技术与商务条款的相关要求为基准要求，如投标人不能完全符合此基准要求，可高于此基准要求进行投标，采购人将不接受低于该基准要求（负偏离）的投标，投标人需对此基准要求作实质性响应</w:t>
      </w:r>
      <w:r>
        <w:rPr>
          <w:rFonts w:hint="eastAsia" w:ascii="宋体" w:hAnsi="宋体" w:eastAsia="宋体" w:cs="宋体"/>
          <w:bCs/>
          <w:sz w:val="24"/>
          <w:szCs w:val="24"/>
        </w:rPr>
        <w:t>。</w:t>
      </w:r>
    </w:p>
    <w:p w14:paraId="068A4D6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rPr>
        <w:t>2、验收标准：中标人提供的产品均为原装产品，采购人组织相关单位验收，验收内容包括数量、规格、外观、质量和出厂合格证。中标后全面响应供货过程的质量与服务承诺。如因产品质量不合格导致我</w:t>
      </w:r>
      <w:r>
        <w:rPr>
          <w:rFonts w:hint="eastAsia" w:ascii="宋体" w:hAnsi="宋体" w:cs="宋体"/>
          <w:bCs/>
          <w:sz w:val="24"/>
          <w:szCs w:val="24"/>
          <w:lang w:val="en-US" w:eastAsia="zh-CN"/>
        </w:rPr>
        <w:t>方</w:t>
      </w:r>
      <w:r>
        <w:rPr>
          <w:rFonts w:hint="eastAsia" w:ascii="宋体" w:hAnsi="宋体" w:eastAsia="宋体" w:cs="宋体"/>
          <w:bCs/>
          <w:sz w:val="24"/>
          <w:szCs w:val="24"/>
        </w:rPr>
        <w:t>其它损失，将一并追究供货方法律责任。投标人不履行合同或履行合同不符合约定的，甲方报相关监管部门同意后，有权随时解除合同，并扣除履约保证金，并在3年内不得参与甲方组织的招投标活动。如果甲方因此造成的实际损失超过约定的履约保</w:t>
      </w:r>
      <w:r>
        <w:rPr>
          <w:rFonts w:hint="eastAsia" w:ascii="宋体" w:hAnsi="宋体" w:eastAsia="宋体" w:cs="宋体"/>
          <w:bCs/>
          <w:sz w:val="24"/>
          <w:szCs w:val="24"/>
          <w:highlight w:val="none"/>
        </w:rPr>
        <w:t>证金，则乙方的赔偿额应以甲方的实际损失为准。</w:t>
      </w:r>
    </w:p>
    <w:p w14:paraId="3690DA01">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五、供货及售后服务要求</w:t>
      </w:r>
    </w:p>
    <w:p w14:paraId="72F82AB4">
      <w:pPr>
        <w:keepNext w:val="0"/>
        <w:keepLines w:val="0"/>
        <w:pageBreakBefore w:val="0"/>
        <w:kinsoku/>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1、中标人交货后负责对使用者进行操作培训，培训内容包括</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的工作原理、使用和维护，培训时间地点和培训次数根据用户的要求确定。</w:t>
      </w:r>
    </w:p>
    <w:p w14:paraId="31DD945B">
      <w:pPr>
        <w:pageBreakBefore w:val="0"/>
        <w:kinsoku/>
        <w:wordWrap/>
        <w:overflowPunct/>
        <w:topLinePunct w:val="0"/>
        <w:bidi w:val="0"/>
        <w:adjustRightInd w:val="0"/>
        <w:snapToGrid w:val="0"/>
        <w:spacing w:line="360" w:lineRule="auto"/>
        <w:rPr>
          <w:rFonts w:hint="eastAsia" w:ascii="宋体" w:hAnsi="宋体" w:cs="宋体"/>
          <w:kern w:val="2"/>
          <w:sz w:val="24"/>
          <w:szCs w:val="24"/>
          <w:highlight w:val="none"/>
        </w:rPr>
      </w:pPr>
      <w:r>
        <w:rPr>
          <w:rFonts w:hint="eastAsia" w:ascii="宋体" w:hAnsi="宋体" w:eastAsia="宋体" w:cs="宋体"/>
          <w:sz w:val="24"/>
          <w:szCs w:val="24"/>
          <w:highlight w:val="none"/>
          <w:lang w:val="en-US" w:eastAsia="zh-CN"/>
        </w:rPr>
        <w:t>2、提供7x24小时的电话以及在线技术支持和服务；对于一般问题，1小时内作出实质性响应，8小时内解决问题；根据用户要求，对重大问题提供现场支持，24小时内到达指定现场并给出使用人可接受的解决方案。</w:t>
      </w:r>
    </w:p>
    <w:p w14:paraId="4EF01482">
      <w:pPr>
        <w:pageBreakBefore w:val="0"/>
        <w:kinsoku/>
        <w:wordWrap/>
        <w:overflowPunct/>
        <w:topLinePunct w:val="0"/>
        <w:bidi w:val="0"/>
        <w:adjustRightInd w:val="0"/>
        <w:snapToGrid w:val="0"/>
        <w:spacing w:line="360" w:lineRule="auto"/>
        <w:rPr>
          <w:rFonts w:hint="eastAsia" w:ascii="宋体" w:hAnsi="宋体" w:cs="宋体"/>
          <w:kern w:val="2"/>
          <w:sz w:val="24"/>
          <w:szCs w:val="24"/>
          <w:highlight w:val="none"/>
        </w:rPr>
      </w:pPr>
    </w:p>
    <w:p w14:paraId="44BACFB8">
      <w:pPr>
        <w:pageBreakBefore w:val="0"/>
        <w:kinsoku/>
        <w:wordWrap/>
        <w:overflowPunct/>
        <w:topLinePunct w:val="0"/>
        <w:bidi w:val="0"/>
        <w:adjustRightInd w:val="0"/>
        <w:snapToGrid w:val="0"/>
        <w:spacing w:line="360" w:lineRule="auto"/>
        <w:rPr>
          <w:rFonts w:hint="eastAsia" w:ascii="宋体" w:hAnsi="宋体" w:cs="宋体"/>
          <w:kern w:val="2"/>
          <w:sz w:val="24"/>
          <w:szCs w:val="24"/>
          <w:highlight w:val="none"/>
        </w:rPr>
      </w:pPr>
    </w:p>
    <w:p w14:paraId="6D5DD64B">
      <w:pPr>
        <w:pageBreakBefore w:val="0"/>
        <w:kinsoku/>
        <w:wordWrap/>
        <w:overflowPunct/>
        <w:topLinePunct w:val="0"/>
        <w:bidi w:val="0"/>
        <w:adjustRightInd w:val="0"/>
        <w:snapToGrid w:val="0"/>
        <w:spacing w:line="360" w:lineRule="auto"/>
        <w:rPr>
          <w:rFonts w:hint="eastAsia" w:ascii="宋体" w:hAnsi="宋体" w:cs="宋体"/>
          <w:kern w:val="2"/>
          <w:sz w:val="24"/>
          <w:szCs w:val="24"/>
          <w:highlight w:val="none"/>
        </w:rPr>
      </w:pPr>
    </w:p>
    <w:p w14:paraId="75B86904">
      <w:pPr>
        <w:rPr>
          <w:rFonts w:hint="eastAsia" w:ascii="黑体" w:hAnsi="黑体" w:eastAsia="黑体"/>
          <w:sz w:val="28"/>
          <w:highlight w:val="none"/>
        </w:rPr>
      </w:pPr>
    </w:p>
    <w:p w14:paraId="3693128A">
      <w:pPr>
        <w:rPr>
          <w:rFonts w:hint="eastAsia" w:ascii="黑体" w:hAnsi="黑体" w:eastAsia="黑体"/>
          <w:sz w:val="28"/>
        </w:rPr>
      </w:pPr>
      <w:r>
        <w:rPr>
          <w:rFonts w:hint="eastAsia" w:ascii="黑体" w:hAnsi="黑体" w:eastAsia="黑体"/>
          <w:sz w:val="28"/>
        </w:rPr>
        <w:br w:type="page"/>
      </w:r>
    </w:p>
    <w:p w14:paraId="46417D76">
      <w:pPr>
        <w:jc w:val="center"/>
        <w:rPr>
          <w:rFonts w:hint="eastAsia" w:ascii="黑体" w:hAnsi="黑体" w:eastAsia="黑体"/>
          <w:sz w:val="28"/>
          <w:lang w:val="en-US" w:eastAsia="zh-CN"/>
        </w:rPr>
      </w:pPr>
      <w:r>
        <w:rPr>
          <w:rFonts w:hint="eastAsia" w:ascii="黑体" w:hAnsi="黑体" w:eastAsia="黑体"/>
          <w:sz w:val="28"/>
        </w:rPr>
        <w:t xml:space="preserve">第四章 </w:t>
      </w:r>
      <w:r>
        <w:rPr>
          <w:rFonts w:hint="eastAsia" w:ascii="黑体" w:hAnsi="黑体" w:eastAsia="黑体"/>
          <w:sz w:val="28"/>
          <w:lang w:val="en-US" w:eastAsia="zh-CN"/>
        </w:rPr>
        <w:t>加药系统采购合同</w:t>
      </w:r>
    </w:p>
    <w:p w14:paraId="4A04B5BD">
      <w:pPr>
        <w:pStyle w:val="530"/>
        <w:spacing w:line="380" w:lineRule="exact"/>
        <w:ind w:firstLine="490"/>
        <w:jc w:val="center"/>
        <w:rPr>
          <w:rFonts w:hint="eastAsia" w:ascii="黑体" w:hAnsi="黑体" w:eastAsia="黑体" w:cs="黑体"/>
          <w:kern w:val="2"/>
          <w:sz w:val="28"/>
          <w:szCs w:val="28"/>
        </w:rPr>
      </w:pPr>
      <w:r>
        <w:rPr>
          <w:rFonts w:hint="eastAsia" w:ascii="黑体" w:hAnsi="黑体" w:eastAsia="黑体" w:cs="黑体"/>
          <w:kern w:val="2"/>
          <w:sz w:val="28"/>
          <w:szCs w:val="28"/>
        </w:rPr>
        <w:t>第一部分 协议书</w:t>
      </w:r>
    </w:p>
    <w:p w14:paraId="3D9CE511">
      <w:pPr>
        <w:pStyle w:val="530"/>
        <w:spacing w:line="380" w:lineRule="exact"/>
        <w:ind w:firstLine="490"/>
        <w:jc w:val="center"/>
        <w:rPr>
          <w:rFonts w:hint="eastAsia" w:ascii="黑体" w:hAnsi="黑体" w:eastAsia="黑体" w:cs="黑体"/>
          <w:kern w:val="2"/>
          <w:sz w:val="28"/>
          <w:szCs w:val="28"/>
        </w:rPr>
      </w:pPr>
    </w:p>
    <w:p w14:paraId="33053345">
      <w:pPr>
        <w:pStyle w:val="530"/>
        <w:spacing w:line="360" w:lineRule="auto"/>
        <w:ind w:firstLine="490"/>
        <w:jc w:val="left"/>
        <w:rPr>
          <w:rFonts w:hint="eastAsia" w:ascii="宋体" w:hAnsi="宋体" w:eastAsia="宋体" w:cs="宋体"/>
          <w:sz w:val="24"/>
          <w:szCs w:val="24"/>
        </w:rPr>
      </w:pPr>
      <w:bookmarkStart w:id="74" w:name="_Toc32439"/>
      <w:bookmarkStart w:id="75" w:name="_Toc15580"/>
      <w:r>
        <w:rPr>
          <w:rFonts w:hint="eastAsia" w:ascii="宋体" w:hAnsi="宋体" w:eastAsia="宋体" w:cs="宋体"/>
          <w:kern w:val="2"/>
          <w:sz w:val="24"/>
          <w:szCs w:val="24"/>
        </w:rPr>
        <w:t>发包人（即甲方，全称）：</w:t>
      </w:r>
      <w:r>
        <w:rPr>
          <w:rFonts w:hint="eastAsia" w:ascii="宋体" w:hAnsi="宋体" w:eastAsia="宋体" w:cs="宋体"/>
          <w:kern w:val="2"/>
          <w:sz w:val="24"/>
          <w:szCs w:val="24"/>
          <w:u w:val="single"/>
        </w:rPr>
        <w:t>宜兴市公用环保集团有限公司</w:t>
      </w:r>
      <w:r>
        <w:rPr>
          <w:rFonts w:hint="eastAsia" w:ascii="宋体" w:hAnsi="宋体" w:eastAsia="宋体" w:cs="宋体"/>
          <w:color w:val="000000"/>
          <w:sz w:val="24"/>
          <w:szCs w:val="24"/>
          <w:u w:val="single"/>
          <w:lang w:val="en-US" w:eastAsia="zh-CN"/>
        </w:rPr>
        <w:t>材料分公司</w:t>
      </w:r>
      <w:r>
        <w:rPr>
          <w:rFonts w:hint="eastAsia" w:ascii="宋体" w:hAnsi="宋体" w:eastAsia="宋体" w:cs="宋体"/>
          <w:kern w:val="2"/>
          <w:sz w:val="24"/>
          <w:szCs w:val="24"/>
        </w:rPr>
        <w:t xml:space="preserve"> </w:t>
      </w:r>
    </w:p>
    <w:p w14:paraId="11D69F61">
      <w:pPr>
        <w:pStyle w:val="530"/>
        <w:spacing w:line="360" w:lineRule="auto"/>
        <w:ind w:firstLine="490"/>
        <w:rPr>
          <w:rFonts w:hint="eastAsia" w:ascii="宋体" w:hAnsi="宋体" w:eastAsia="宋体" w:cs="宋体"/>
          <w:b/>
          <w:kern w:val="2"/>
          <w:sz w:val="24"/>
          <w:szCs w:val="24"/>
          <w:u w:val="single"/>
        </w:rPr>
      </w:pPr>
      <w:r>
        <w:rPr>
          <w:rFonts w:hint="eastAsia" w:ascii="宋体" w:hAnsi="宋体" w:eastAsia="宋体" w:cs="宋体"/>
          <w:kern w:val="2"/>
          <w:sz w:val="24"/>
          <w:szCs w:val="24"/>
        </w:rPr>
        <w:t>承包人（即乙方，全称）：</w:t>
      </w:r>
      <w:r>
        <w:rPr>
          <w:rFonts w:hint="eastAsia" w:ascii="宋体" w:hAnsi="宋体" w:eastAsia="宋体" w:cs="宋体"/>
          <w:kern w:val="2"/>
          <w:sz w:val="24"/>
          <w:szCs w:val="24"/>
          <w:u w:val="single"/>
        </w:rPr>
        <w:t xml:space="preserve">                          </w:t>
      </w:r>
    </w:p>
    <w:p w14:paraId="0DC9291C">
      <w:pPr>
        <w:pStyle w:val="389"/>
        <w:spacing w:line="360" w:lineRule="auto"/>
        <w:ind w:firstLine="490"/>
        <w:rPr>
          <w:rFonts w:hint="eastAsia" w:ascii="宋体" w:hAnsi="宋体" w:eastAsia="宋体" w:cs="宋体"/>
          <w:sz w:val="24"/>
          <w:szCs w:val="24"/>
        </w:rPr>
      </w:pPr>
    </w:p>
    <w:p w14:paraId="3B35C8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依照《中华人民共和国民法典》及其他有关法律、行政法规，遵循平等、自愿、公平和诚实信用的原则，双方就本建设工程施工事项协商一致，订立本合同。</w:t>
      </w:r>
    </w:p>
    <w:p w14:paraId="3A757BE3">
      <w:pPr>
        <w:pStyle w:val="389"/>
        <w:spacing w:line="360" w:lineRule="auto"/>
        <w:ind w:left="479" w:leftChars="228" w:right="170"/>
        <w:rPr>
          <w:rFonts w:hint="eastAsia" w:ascii="宋体" w:hAnsi="宋体" w:eastAsia="宋体" w:cs="宋体"/>
          <w:spacing w:val="12"/>
          <w:kern w:val="0"/>
          <w:sz w:val="24"/>
          <w:szCs w:val="24"/>
        </w:rPr>
      </w:pPr>
      <w:r>
        <w:rPr>
          <w:rFonts w:hint="eastAsia" w:ascii="宋体" w:hAnsi="宋体" w:eastAsia="宋体" w:cs="宋体"/>
          <w:spacing w:val="12"/>
          <w:kern w:val="0"/>
          <w:sz w:val="24"/>
          <w:szCs w:val="24"/>
        </w:rPr>
        <w:t>一、</w:t>
      </w:r>
      <w:r>
        <w:rPr>
          <w:rFonts w:hint="eastAsia" w:ascii="宋体" w:hAnsi="宋体" w:eastAsia="宋体" w:cs="宋体"/>
          <w:spacing w:val="12"/>
          <w:kern w:val="0"/>
          <w:sz w:val="24"/>
          <w:szCs w:val="24"/>
          <w:lang w:val="en-US" w:eastAsia="zh-CN"/>
        </w:rPr>
        <w:t>项目</w:t>
      </w:r>
      <w:r>
        <w:rPr>
          <w:rFonts w:hint="eastAsia" w:ascii="宋体" w:hAnsi="宋体" w:eastAsia="宋体" w:cs="宋体"/>
          <w:spacing w:val="12"/>
          <w:kern w:val="0"/>
          <w:sz w:val="24"/>
          <w:szCs w:val="24"/>
        </w:rPr>
        <w:t>概况</w:t>
      </w:r>
    </w:p>
    <w:p w14:paraId="67539A85">
      <w:pPr>
        <w:pStyle w:val="389"/>
        <w:spacing w:line="360" w:lineRule="auto"/>
        <w:ind w:firstLine="490"/>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宋体" w:hAnsi="宋体" w:eastAsia="宋体" w:cs="宋体"/>
          <w:color w:val="auto"/>
          <w:kern w:val="0"/>
          <w:sz w:val="24"/>
          <w:szCs w:val="24"/>
          <w:u w:val="none"/>
        </w:rPr>
        <w:t>：</w:t>
      </w:r>
      <w:r>
        <w:rPr>
          <w:rFonts w:hint="eastAsia" w:ascii="宋体" w:hAnsi="宋体" w:eastAsia="宋体" w:cs="宋体"/>
          <w:color w:val="0000FF"/>
          <w:kern w:val="0"/>
          <w:sz w:val="24"/>
          <w:szCs w:val="24"/>
          <w:u w:val="single"/>
        </w:rPr>
        <w:t>宜兴市公用环保集团有限公司</w:t>
      </w:r>
      <w:r>
        <w:rPr>
          <w:rFonts w:hint="eastAsia" w:ascii="宋体" w:hAnsi="宋体" w:eastAsia="宋体" w:cs="宋体"/>
          <w:color w:val="0000FF"/>
          <w:kern w:val="0"/>
          <w:sz w:val="24"/>
          <w:szCs w:val="24"/>
          <w:u w:val="single"/>
          <w:lang w:val="en-US" w:eastAsia="zh-CN"/>
        </w:rPr>
        <w:t>材料分公司</w:t>
      </w:r>
      <w:r>
        <w:rPr>
          <w:rFonts w:hint="eastAsia" w:ascii="宋体" w:hAnsi="宋体" w:cs="宋体"/>
          <w:color w:val="0000FF"/>
          <w:kern w:val="0"/>
          <w:sz w:val="24"/>
          <w:szCs w:val="24"/>
          <w:u w:val="single"/>
          <w:lang w:val="en-US" w:eastAsia="zh-CN"/>
        </w:rPr>
        <w:t>加药系统采购</w:t>
      </w:r>
    </w:p>
    <w:p w14:paraId="6DDDB2F9">
      <w:pPr>
        <w:pStyle w:val="389"/>
        <w:spacing w:line="360" w:lineRule="auto"/>
        <w:ind w:firstLine="49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供货地点：宜兴市内</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val="zh-CN"/>
        </w:rPr>
        <w:t>指定地点</w:t>
      </w:r>
    </w:p>
    <w:p w14:paraId="3D7C8168">
      <w:pPr>
        <w:pStyle w:val="389"/>
        <w:spacing w:line="360" w:lineRule="auto"/>
        <w:ind w:left="489" w:leftChars="233"/>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3.资金来源：</w:t>
      </w:r>
      <w:r>
        <w:rPr>
          <w:rFonts w:hint="eastAsia" w:ascii="宋体" w:hAnsi="宋体" w:eastAsia="宋体" w:cs="宋体"/>
          <w:color w:val="auto"/>
          <w:kern w:val="0"/>
          <w:sz w:val="24"/>
          <w:szCs w:val="24"/>
          <w:u w:val="single"/>
        </w:rPr>
        <w:t>自筹</w:t>
      </w:r>
    </w:p>
    <w:p w14:paraId="508885A0">
      <w:pPr>
        <w:pStyle w:val="389"/>
        <w:spacing w:line="360" w:lineRule="auto"/>
        <w:ind w:right="170" w:firstLine="480" w:firstLineChars="200"/>
        <w:rPr>
          <w:rFonts w:hint="eastAsia" w:ascii="宋体" w:hAnsi="宋体" w:eastAsia="宋体" w:cs="宋体"/>
          <w:color w:val="auto"/>
          <w:kern w:val="0"/>
          <w:sz w:val="24"/>
          <w:szCs w:val="24"/>
          <w:u w:val="single"/>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内容：</w:t>
      </w:r>
      <w:r>
        <w:rPr>
          <w:rFonts w:hint="eastAsia" w:ascii="宋体" w:hAnsi="宋体" w:eastAsia="宋体" w:cs="宋体"/>
          <w:sz w:val="24"/>
          <w:szCs w:val="24"/>
          <w:u w:val="single"/>
          <w:lang w:val="en-US" w:eastAsia="zh-CN"/>
        </w:rPr>
        <w:t>加药系统</w:t>
      </w:r>
      <w:r>
        <w:rPr>
          <w:rFonts w:hint="eastAsia" w:ascii="宋体" w:hAnsi="宋体" w:eastAsia="宋体" w:cs="宋体"/>
          <w:kern w:val="0"/>
          <w:sz w:val="24"/>
          <w:szCs w:val="24"/>
          <w:u w:val="single"/>
        </w:rPr>
        <w:t>的供货、运输、交货、指导安装及售后服务等。</w:t>
      </w:r>
    </w:p>
    <w:p w14:paraId="7A0E0EAC">
      <w:pPr>
        <w:pStyle w:val="389"/>
        <w:spacing w:line="360" w:lineRule="auto"/>
        <w:ind w:right="170" w:firstLine="480" w:firstLineChars="200"/>
        <w:rPr>
          <w:rFonts w:hint="eastAsia" w:ascii="宋体" w:hAnsi="宋体" w:eastAsia="宋体" w:cs="宋体"/>
          <w:color w:val="0000FF"/>
          <w:kern w:val="0"/>
          <w:sz w:val="24"/>
          <w:szCs w:val="24"/>
          <w:highlight w:val="none"/>
          <w:u w:val="single"/>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承包范围：</w:t>
      </w:r>
      <w:r>
        <w:rPr>
          <w:rFonts w:hint="eastAsia" w:ascii="宋体" w:hAnsi="宋体" w:eastAsia="宋体" w:cs="宋体"/>
          <w:color w:val="000000"/>
          <w:sz w:val="24"/>
          <w:szCs w:val="24"/>
          <w:lang w:val="en-US" w:eastAsia="zh-CN"/>
        </w:rPr>
        <w:t>加药系统</w:t>
      </w:r>
      <w:r>
        <w:rPr>
          <w:rFonts w:hint="eastAsia" w:ascii="宋体" w:hAnsi="宋体" w:eastAsia="宋体" w:cs="宋体"/>
          <w:color w:val="000000"/>
          <w:sz w:val="24"/>
          <w:szCs w:val="24"/>
          <w:lang w:val="zh-CN"/>
        </w:rPr>
        <w:t>的供货、运输、交货、指导安装</w:t>
      </w:r>
      <w:r>
        <w:rPr>
          <w:rFonts w:hint="eastAsia" w:ascii="宋体" w:hAnsi="宋体" w:eastAsia="宋体" w:cs="宋体"/>
          <w:color w:val="000000"/>
          <w:sz w:val="24"/>
          <w:szCs w:val="24"/>
        </w:rPr>
        <w:t>及售后服务</w:t>
      </w:r>
      <w:r>
        <w:rPr>
          <w:rFonts w:hint="eastAsia" w:ascii="宋体" w:hAnsi="宋体" w:eastAsia="宋体" w:cs="宋体"/>
          <w:color w:val="000000"/>
          <w:sz w:val="24"/>
          <w:szCs w:val="24"/>
          <w:lang w:val="zh-CN"/>
        </w:rPr>
        <w:t>等。（招标数量为</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highlight w:val="none"/>
          <w:lang w:val="zh-CN"/>
        </w:rPr>
        <w:t>的规划设计数量，仅作招标参考，合同签订时或实际使用时数量可能会有较大变动。</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zh-CN"/>
        </w:rPr>
        <w:t>必须充分考虑市场原料价格变动和实际使用数量的风险）</w:t>
      </w:r>
    </w:p>
    <w:p w14:paraId="464E7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二、合同工期</w:t>
      </w:r>
    </w:p>
    <w:p w14:paraId="4F086C66">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分批供货，乙方在接到甲方的发货通知之日起4</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天内完成供货（具体交货期限接招标人的通知，否则后果一切自负）。如延误交货或中断供货将承担违约责任</w:t>
      </w:r>
      <w:r>
        <w:rPr>
          <w:rFonts w:hint="eastAsia" w:ascii="宋体" w:hAnsi="宋体" w:eastAsia="宋体" w:cs="宋体"/>
          <w:sz w:val="24"/>
          <w:szCs w:val="24"/>
          <w:highlight w:val="none"/>
          <w:u w:val="single"/>
          <w:lang w:val="en-US" w:eastAsia="zh-CN"/>
        </w:rPr>
        <w:t>。</w:t>
      </w:r>
    </w:p>
    <w:p w14:paraId="271BD3B3">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三、质量标准</w:t>
      </w:r>
    </w:p>
    <w:p w14:paraId="72857205">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合格，符合国家现行有关标准、相关行业规范及</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要求，</w:t>
      </w:r>
      <w:r>
        <w:rPr>
          <w:rFonts w:hint="eastAsia" w:ascii="宋体" w:hAnsi="宋体" w:eastAsia="宋体" w:cs="宋体"/>
          <w:bCs/>
          <w:sz w:val="24"/>
          <w:szCs w:val="24"/>
          <w:highlight w:val="none"/>
          <w:lang w:val="zh-CN"/>
        </w:rPr>
        <w:t>由</w:t>
      </w:r>
      <w:r>
        <w:rPr>
          <w:rFonts w:hint="eastAsia" w:ascii="宋体" w:hAnsi="宋体" w:eastAsia="宋体" w:cs="宋体"/>
          <w:bCs/>
          <w:sz w:val="24"/>
          <w:szCs w:val="24"/>
          <w:highlight w:val="none"/>
          <w:lang w:val="en-US" w:eastAsia="zh-CN"/>
        </w:rPr>
        <w:t>使用单位</w:t>
      </w:r>
      <w:r>
        <w:rPr>
          <w:rFonts w:hint="eastAsia" w:ascii="宋体" w:hAnsi="宋体" w:eastAsia="宋体" w:cs="宋体"/>
          <w:bCs/>
          <w:sz w:val="24"/>
          <w:szCs w:val="24"/>
          <w:highlight w:val="none"/>
          <w:lang w:val="zh-CN"/>
        </w:rPr>
        <w:t>组织验收，需满足</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lang w:val="zh-CN"/>
        </w:rPr>
        <w:t>实际仓储条件下的正常运行。</w:t>
      </w:r>
    </w:p>
    <w:p w14:paraId="48A71EFB">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四、合同价款</w:t>
      </w:r>
    </w:p>
    <w:p w14:paraId="48987FC9">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金额（大写）：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元（人民币）</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元（人民币）</w:t>
      </w:r>
    </w:p>
    <w:p w14:paraId="47900475">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五、合同文件构成</w:t>
      </w:r>
    </w:p>
    <w:p w14:paraId="0174D96D">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本协议书与下列文件一起构成合同文件：</w:t>
      </w:r>
    </w:p>
    <w:p w14:paraId="0B1C6C45">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（1）中标通知书；</w:t>
      </w:r>
    </w:p>
    <w:p w14:paraId="4A1F0B76">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（2）投标函及其附录； </w:t>
      </w:r>
    </w:p>
    <w:p w14:paraId="0886C7B3">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（3）合同主要条款；</w:t>
      </w:r>
    </w:p>
    <w:p w14:paraId="42F95662">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（4）其他合同文件。</w:t>
      </w:r>
    </w:p>
    <w:p w14:paraId="1A227EF8">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在合同订立及履行过程中形成的与合同有关的文件均构成合同文件组成部分。</w:t>
      </w:r>
    </w:p>
    <w:p w14:paraId="676513BB">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上述各项合同文件包括合同当事人就该项合同文件所作出的补充和修改，属于同一类内容的文件，应以最新签署的为准。合同附件须经合同当事人签字或盖章。</w:t>
      </w:r>
    </w:p>
    <w:p w14:paraId="5F07B6C7">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六、承诺</w:t>
      </w:r>
    </w:p>
    <w:p w14:paraId="33101C5F">
      <w:pPr>
        <w:pStyle w:val="389"/>
        <w:spacing w:line="360" w:lineRule="auto"/>
        <w:ind w:firstLine="480" w:firstLineChars="200"/>
        <w:rPr>
          <w:rFonts w:hint="eastAsia" w:ascii="宋体" w:hAnsi="宋体" w:eastAsia="宋体" w:cs="宋体"/>
          <w:bCs/>
          <w:sz w:val="24"/>
          <w:szCs w:val="24"/>
        </w:rPr>
      </w:pPr>
      <w:bookmarkStart w:id="76" w:name="_Toc351203488"/>
      <w:r>
        <w:rPr>
          <w:rFonts w:hint="eastAsia" w:ascii="宋体" w:hAnsi="宋体" w:eastAsia="宋体" w:cs="宋体"/>
          <w:bCs/>
          <w:sz w:val="24"/>
          <w:szCs w:val="24"/>
        </w:rPr>
        <w:t>1.</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承诺按照法律规定履行项目审批手续、筹集工程建设资金并按照合同约定的期限和方式支付合同价款。</w:t>
      </w:r>
    </w:p>
    <w:p w14:paraId="461FC64C">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甲乙双方</w:t>
      </w:r>
      <w:r>
        <w:rPr>
          <w:rFonts w:hint="eastAsia" w:ascii="宋体" w:hAnsi="宋体" w:eastAsia="宋体" w:cs="宋体"/>
          <w:bCs/>
          <w:sz w:val="24"/>
          <w:szCs w:val="24"/>
        </w:rPr>
        <w:t>通过招投标形式签订合同的，双方理解并承诺不再就同一工程另行签订与合同实质性内容相背离的协议。</w:t>
      </w:r>
    </w:p>
    <w:p w14:paraId="393080A6">
      <w:pPr>
        <w:pStyle w:val="389"/>
        <w:keepNext w:val="0"/>
        <w:keepLines w:val="0"/>
        <w:pageBreakBefore w:val="0"/>
        <w:widowControl w:val="0"/>
        <w:kinsoku/>
        <w:wordWrap/>
        <w:overflowPunct/>
        <w:topLinePunct w:val="0"/>
        <w:bidi w:val="0"/>
        <w:snapToGrid/>
        <w:spacing w:after="120" w:line="360" w:lineRule="auto"/>
        <w:ind w:left="420" w:leftChars="200"/>
        <w:textAlignment w:val="auto"/>
        <w:rPr>
          <w:rFonts w:hint="eastAsia" w:ascii="宋体" w:hAnsi="宋体" w:eastAsia="宋体" w:cs="宋体"/>
          <w:bCs/>
          <w:color w:val="000000"/>
          <w:sz w:val="24"/>
          <w:szCs w:val="24"/>
        </w:rPr>
      </w:pPr>
      <w:r>
        <w:rPr>
          <w:rFonts w:hint="eastAsia" w:ascii="宋体" w:hAnsi="宋体" w:eastAsia="宋体" w:cs="宋体"/>
          <w:sz w:val="24"/>
          <w:szCs w:val="24"/>
        </w:rPr>
        <w:t>七、词语含义</w:t>
      </w:r>
    </w:p>
    <w:p w14:paraId="133A22E0">
      <w:pPr>
        <w:pStyle w:val="389"/>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rPr>
        <w:t>本协议书中词语含义与第二部分合同条款中赋予的含义相同。</w:t>
      </w:r>
    </w:p>
    <w:bookmarkEnd w:id="76"/>
    <w:p w14:paraId="13910FE9">
      <w:pPr>
        <w:pStyle w:val="389"/>
        <w:spacing w:after="120" w:line="360" w:lineRule="auto"/>
        <w:ind w:left="420" w:leftChars="200"/>
        <w:outlineLvl w:val="1"/>
        <w:rPr>
          <w:rFonts w:hint="eastAsia" w:ascii="宋体" w:hAnsi="宋体" w:eastAsia="宋体" w:cs="宋体"/>
          <w:sz w:val="24"/>
          <w:szCs w:val="24"/>
        </w:rPr>
      </w:pPr>
      <w:bookmarkStart w:id="77" w:name="_Toc351203489"/>
      <w:r>
        <w:rPr>
          <w:rFonts w:hint="eastAsia" w:ascii="宋体" w:hAnsi="宋体" w:eastAsia="宋体" w:cs="宋体"/>
          <w:sz w:val="24"/>
          <w:szCs w:val="24"/>
          <w:lang w:val="en-US" w:eastAsia="zh-CN"/>
        </w:rPr>
        <w:t>八</w:t>
      </w:r>
      <w:r>
        <w:rPr>
          <w:rFonts w:hint="eastAsia" w:ascii="宋体" w:hAnsi="宋体" w:eastAsia="宋体" w:cs="宋体"/>
          <w:sz w:val="24"/>
          <w:szCs w:val="24"/>
        </w:rPr>
        <w:t>、签订时间</w:t>
      </w:r>
      <w:bookmarkEnd w:id="77"/>
    </w:p>
    <w:p w14:paraId="3D25304B">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本合同于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日签订。</w:t>
      </w:r>
    </w:p>
    <w:p w14:paraId="71262A3D">
      <w:pPr>
        <w:pStyle w:val="389"/>
        <w:spacing w:after="120" w:line="360" w:lineRule="auto"/>
        <w:ind w:left="420" w:leftChars="200"/>
        <w:outlineLvl w:val="1"/>
        <w:rPr>
          <w:rFonts w:hint="eastAsia" w:ascii="宋体" w:hAnsi="宋体" w:eastAsia="宋体" w:cs="宋体"/>
          <w:sz w:val="24"/>
          <w:szCs w:val="24"/>
        </w:rPr>
      </w:pPr>
      <w:bookmarkStart w:id="78" w:name="_Toc351203490"/>
      <w:r>
        <w:rPr>
          <w:rFonts w:hint="eastAsia" w:ascii="宋体" w:hAnsi="宋体" w:eastAsia="宋体" w:cs="宋体"/>
          <w:sz w:val="24"/>
          <w:szCs w:val="24"/>
          <w:lang w:val="en-US" w:eastAsia="zh-CN"/>
        </w:rPr>
        <w:t>九</w:t>
      </w:r>
      <w:r>
        <w:rPr>
          <w:rFonts w:hint="eastAsia" w:ascii="宋体" w:hAnsi="宋体" w:eastAsia="宋体" w:cs="宋体"/>
          <w:sz w:val="24"/>
          <w:szCs w:val="24"/>
        </w:rPr>
        <w:t>、签订地点</w:t>
      </w:r>
      <w:bookmarkEnd w:id="78"/>
    </w:p>
    <w:p w14:paraId="4916DCF0">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本合同在   </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办公室      签订。</w:t>
      </w:r>
    </w:p>
    <w:p w14:paraId="2CE50849">
      <w:pPr>
        <w:pStyle w:val="389"/>
        <w:spacing w:after="120" w:line="360" w:lineRule="auto"/>
        <w:ind w:left="420" w:leftChars="200"/>
        <w:outlineLvl w:val="1"/>
        <w:rPr>
          <w:rFonts w:hint="eastAsia" w:ascii="宋体" w:hAnsi="宋体" w:eastAsia="宋体" w:cs="宋体"/>
          <w:sz w:val="24"/>
          <w:szCs w:val="24"/>
        </w:rPr>
      </w:pPr>
      <w:bookmarkStart w:id="79" w:name="_Toc351203491"/>
      <w:r>
        <w:rPr>
          <w:rFonts w:hint="eastAsia" w:ascii="宋体" w:hAnsi="宋体" w:eastAsia="宋体" w:cs="宋体"/>
          <w:sz w:val="24"/>
          <w:szCs w:val="24"/>
          <w:lang w:val="en-US" w:eastAsia="zh-CN"/>
        </w:rPr>
        <w:t>十</w:t>
      </w:r>
      <w:r>
        <w:rPr>
          <w:rFonts w:hint="eastAsia" w:ascii="宋体" w:hAnsi="宋体" w:eastAsia="宋体" w:cs="宋体"/>
          <w:sz w:val="24"/>
          <w:szCs w:val="24"/>
        </w:rPr>
        <w:t>、补充协议</w:t>
      </w:r>
      <w:bookmarkEnd w:id="79"/>
    </w:p>
    <w:p w14:paraId="0D6A910A">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合同未尽事宜，合同当事人另行签订补充协议，补充协议是合同的组成部分。</w:t>
      </w:r>
    </w:p>
    <w:p w14:paraId="618B1805">
      <w:pPr>
        <w:pStyle w:val="389"/>
        <w:spacing w:after="120" w:line="360" w:lineRule="auto"/>
        <w:ind w:left="420" w:leftChars="200"/>
        <w:outlineLvl w:val="1"/>
        <w:rPr>
          <w:rFonts w:hint="eastAsia" w:ascii="宋体" w:hAnsi="宋体" w:eastAsia="宋体" w:cs="宋体"/>
          <w:sz w:val="24"/>
          <w:szCs w:val="24"/>
        </w:rPr>
      </w:pPr>
      <w:bookmarkStart w:id="80" w:name="_Toc351203492"/>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、合同生效</w:t>
      </w:r>
      <w:bookmarkEnd w:id="80"/>
    </w:p>
    <w:p w14:paraId="78BA98F1">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   双方签字盖章后    生效。</w:t>
      </w:r>
    </w:p>
    <w:p w14:paraId="5CECFC28">
      <w:pPr>
        <w:pStyle w:val="389"/>
        <w:spacing w:after="120" w:line="360" w:lineRule="auto"/>
        <w:ind w:left="420" w:leftChars="200"/>
        <w:outlineLvl w:val="1"/>
        <w:rPr>
          <w:rFonts w:hint="eastAsia" w:ascii="宋体" w:hAnsi="宋体" w:eastAsia="宋体" w:cs="宋体"/>
          <w:b/>
          <w:sz w:val="24"/>
          <w:szCs w:val="24"/>
        </w:rPr>
      </w:pPr>
      <w:bookmarkStart w:id="81" w:name="_Toc351203493"/>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、合同份数</w:t>
      </w:r>
      <w:bookmarkEnd w:id="81"/>
    </w:p>
    <w:p w14:paraId="09A63C0D">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lang w:val="en-US" w:eastAsia="zh-CN"/>
        </w:rPr>
        <w:t xml:space="preserve"> 陆 </w:t>
      </w:r>
      <w:r>
        <w:rPr>
          <w:rFonts w:hint="eastAsia" w:ascii="宋体" w:hAnsi="宋体" w:eastAsia="宋体" w:cs="宋体"/>
          <w:bCs/>
          <w:sz w:val="24"/>
          <w:szCs w:val="24"/>
        </w:rPr>
        <w:t>份，均具有同等法律效力，</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 xml:space="preserve">执 </w:t>
      </w:r>
      <w:r>
        <w:rPr>
          <w:rFonts w:hint="eastAsia" w:ascii="宋体" w:hAnsi="宋体" w:eastAsia="宋体" w:cs="宋体"/>
          <w:bCs/>
          <w:sz w:val="24"/>
          <w:szCs w:val="24"/>
          <w:lang w:val="en-US" w:eastAsia="zh-CN"/>
        </w:rPr>
        <w:t>肆</w:t>
      </w:r>
      <w:r>
        <w:rPr>
          <w:rFonts w:hint="eastAsia" w:ascii="宋体" w:hAnsi="宋体" w:eastAsia="宋体" w:cs="宋体"/>
          <w:bCs/>
          <w:sz w:val="24"/>
          <w:szCs w:val="24"/>
        </w:rPr>
        <w:t xml:space="preserve"> 份，</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 xml:space="preserve">执 </w:t>
      </w:r>
      <w:r>
        <w:rPr>
          <w:rFonts w:hint="eastAsia" w:ascii="宋体" w:hAnsi="宋体" w:eastAsia="宋体" w:cs="宋体"/>
          <w:bCs/>
          <w:sz w:val="24"/>
          <w:szCs w:val="24"/>
          <w:lang w:val="en-US" w:eastAsia="zh-CN"/>
        </w:rPr>
        <w:t>贰</w:t>
      </w:r>
      <w:r>
        <w:rPr>
          <w:rFonts w:hint="eastAsia" w:ascii="宋体" w:hAnsi="宋体" w:eastAsia="宋体" w:cs="宋体"/>
          <w:bCs/>
          <w:sz w:val="24"/>
          <w:szCs w:val="24"/>
        </w:rPr>
        <w:t xml:space="preserve"> 份。</w:t>
      </w:r>
    </w:p>
    <w:p w14:paraId="6F856865">
      <w:pPr>
        <w:pStyle w:val="389"/>
        <w:spacing w:line="360" w:lineRule="auto"/>
        <w:rPr>
          <w:rFonts w:hint="eastAsia" w:ascii="宋体" w:hAnsi="宋体" w:eastAsia="宋体" w:cs="宋体"/>
          <w:bCs/>
          <w:sz w:val="24"/>
          <w:szCs w:val="24"/>
        </w:rPr>
      </w:pPr>
    </w:p>
    <w:p w14:paraId="3A8F8083">
      <w:pPr>
        <w:pStyle w:val="389"/>
        <w:tabs>
          <w:tab w:val="left" w:pos="5000"/>
        </w:tabs>
        <w:spacing w:line="360" w:lineRule="auto"/>
        <w:ind w:left="420"/>
        <w:rPr>
          <w:rFonts w:hint="eastAsia" w:ascii="宋体" w:hAnsi="宋体" w:eastAsia="宋体" w:cs="宋体"/>
          <w:sz w:val="24"/>
          <w:szCs w:val="24"/>
        </w:rPr>
      </w:pPr>
      <w:r>
        <w:rPr>
          <w:rFonts w:hint="eastAsia" w:ascii="宋体" w:hAnsi="宋体" w:eastAsia="宋体" w:cs="宋体"/>
          <w:kern w:val="0"/>
          <w:sz w:val="24"/>
          <w:szCs w:val="24"/>
          <w:lang w:val="zh-CN"/>
        </w:rPr>
        <w:t>甲方（采购人）</w:t>
      </w:r>
      <w:r>
        <w:rPr>
          <w:rFonts w:hint="eastAsia" w:ascii="宋体" w:hAnsi="宋体" w:eastAsia="宋体" w:cs="宋体"/>
          <w:sz w:val="24"/>
          <w:szCs w:val="24"/>
        </w:rPr>
        <w:t>（公章）：</w:t>
      </w:r>
      <w:r>
        <w:rPr>
          <w:rFonts w:hint="eastAsia" w:ascii="宋体" w:hAnsi="宋体" w:eastAsia="宋体" w:cs="宋体"/>
          <w:sz w:val="24"/>
          <w:szCs w:val="24"/>
        </w:rPr>
        <w:tab/>
      </w:r>
      <w:r>
        <w:rPr>
          <w:rFonts w:hint="eastAsia" w:ascii="宋体" w:hAnsi="宋体" w:eastAsia="宋体" w:cs="宋体"/>
          <w:kern w:val="0"/>
          <w:sz w:val="24"/>
          <w:szCs w:val="24"/>
          <w:lang w:val="zh-CN"/>
        </w:rPr>
        <w:t>乙方（供应商）</w:t>
      </w:r>
      <w:r>
        <w:rPr>
          <w:rFonts w:hint="eastAsia" w:ascii="宋体" w:hAnsi="宋体" w:eastAsia="宋体" w:cs="宋体"/>
          <w:sz w:val="24"/>
          <w:szCs w:val="24"/>
        </w:rPr>
        <w:t>（公章）：</w:t>
      </w:r>
    </w:p>
    <w:p w14:paraId="68F210F8">
      <w:pPr>
        <w:pStyle w:val="389"/>
        <w:tabs>
          <w:tab w:val="left" w:pos="5000"/>
        </w:tabs>
        <w:spacing w:line="360" w:lineRule="auto"/>
        <w:ind w:left="420"/>
        <w:rPr>
          <w:rFonts w:hint="eastAsia" w:ascii="宋体" w:hAnsi="宋体" w:eastAsia="宋体" w:cs="宋体"/>
          <w:sz w:val="24"/>
          <w:szCs w:val="24"/>
        </w:rPr>
      </w:pPr>
    </w:p>
    <w:p w14:paraId="22C6D6E5">
      <w:pPr>
        <w:pStyle w:val="389"/>
        <w:tabs>
          <w:tab w:val="left" w:pos="5000"/>
        </w:tabs>
        <w:spacing w:line="360" w:lineRule="auto"/>
        <w:ind w:left="42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rPr>
        <w:tab/>
      </w:r>
      <w:r>
        <w:rPr>
          <w:rFonts w:hint="eastAsia" w:ascii="宋体" w:hAnsi="宋体" w:eastAsia="宋体" w:cs="宋体"/>
          <w:sz w:val="24"/>
          <w:szCs w:val="24"/>
        </w:rPr>
        <w:t>法定代表人（签字）：</w:t>
      </w:r>
    </w:p>
    <w:p w14:paraId="5A269020">
      <w:pPr>
        <w:pStyle w:val="526"/>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开 户 银行：                         开 户 银行：  </w:t>
      </w:r>
    </w:p>
    <w:p w14:paraId="3A74D30E">
      <w:pPr>
        <w:pStyle w:val="526"/>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银 行 帐号：                         银 行 帐号： </w:t>
      </w:r>
    </w:p>
    <w:p w14:paraId="70290878">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bookmarkEnd w:id="67"/>
    <w:bookmarkEnd w:id="68"/>
    <w:bookmarkEnd w:id="69"/>
    <w:bookmarkEnd w:id="70"/>
    <w:bookmarkEnd w:id="71"/>
    <w:bookmarkEnd w:id="72"/>
    <w:bookmarkEnd w:id="73"/>
    <w:bookmarkEnd w:id="74"/>
    <w:bookmarkEnd w:id="75"/>
    <w:p w14:paraId="3EDD185A">
      <w:pPr>
        <w:rPr>
          <w:rFonts w:hint="eastAsia" w:ascii="黑体" w:eastAsia="黑体"/>
          <w:sz w:val="28"/>
        </w:rPr>
      </w:pPr>
      <w:r>
        <w:rPr>
          <w:rFonts w:hint="eastAsia" w:ascii="黑体" w:eastAsia="黑体"/>
          <w:sz w:val="28"/>
        </w:rPr>
        <w:br w:type="page"/>
      </w:r>
    </w:p>
    <w:p w14:paraId="69A7CF0E">
      <w:pPr>
        <w:pStyle w:val="389"/>
        <w:jc w:val="center"/>
        <w:rPr>
          <w:rFonts w:ascii="黑体" w:eastAsia="黑体"/>
          <w:sz w:val="28"/>
        </w:rPr>
      </w:pPr>
      <w:r>
        <w:rPr>
          <w:rFonts w:hint="eastAsia" w:ascii="黑体" w:eastAsia="黑体"/>
          <w:sz w:val="28"/>
        </w:rPr>
        <w:t>第二部分   合同主要条款</w:t>
      </w:r>
    </w:p>
    <w:p w14:paraId="00C849FD">
      <w:pPr>
        <w:pStyle w:val="389"/>
        <w:spacing w:line="360" w:lineRule="auto"/>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w:t>
      </w:r>
      <w:r>
        <w:rPr>
          <w:rFonts w:hint="eastAsia" w:ascii="宋体" w:hAnsi="宋体"/>
          <w:sz w:val="24"/>
        </w:rPr>
        <w:t>双方就此次中标的材料和相关问题，同意按下列条款规定执行。</w:t>
      </w:r>
    </w:p>
    <w:p w14:paraId="4767A52E">
      <w:pPr>
        <w:pStyle w:val="389"/>
        <w:spacing w:line="360" w:lineRule="auto"/>
        <w:ind w:firstLine="490"/>
        <w:rPr>
          <w:rFonts w:ascii="宋体" w:hAnsi="宋体"/>
          <w:sz w:val="24"/>
          <w:u w:val="single"/>
        </w:rPr>
      </w:pPr>
      <w:r>
        <w:rPr>
          <w:rFonts w:hint="eastAsia" w:ascii="宋体" w:hAnsi="宋体"/>
          <w:sz w:val="24"/>
        </w:rPr>
        <w:t>一、合同内容：</w:t>
      </w:r>
      <w:r>
        <w:rPr>
          <w:rFonts w:hint="eastAsia" w:ascii="ˎ̥" w:hAnsi="ˎ̥" w:cs="宋体"/>
          <w:color w:val="0000FF"/>
          <w:kern w:val="0"/>
          <w:sz w:val="24"/>
          <w:u w:val="single"/>
          <w:lang w:val="en-US" w:eastAsia="zh-CN"/>
        </w:rPr>
        <w:t>加药系统</w:t>
      </w:r>
      <w:r>
        <w:rPr>
          <w:rFonts w:hint="eastAsia" w:ascii="ˎ̥" w:hAnsi="ˎ̥" w:cs="宋体"/>
          <w:color w:val="0000FF"/>
          <w:kern w:val="0"/>
          <w:sz w:val="24"/>
          <w:u w:val="single"/>
        </w:rPr>
        <w:t>的供货、运输、交货、指导安装</w:t>
      </w:r>
      <w:r>
        <w:rPr>
          <w:rFonts w:hint="eastAsia" w:ascii="ˎ̥" w:hAnsi="ˎ̥" w:cs="宋体"/>
          <w:color w:val="0000FF"/>
          <w:kern w:val="0"/>
          <w:sz w:val="24"/>
          <w:u w:val="single"/>
          <w:lang w:val="en-US" w:eastAsia="zh-CN"/>
        </w:rPr>
        <w:t>及售后服务</w:t>
      </w:r>
      <w:r>
        <w:rPr>
          <w:rFonts w:hint="eastAsia" w:ascii="ˎ̥" w:hAnsi="ˎ̥" w:cs="宋体"/>
          <w:color w:val="0000FF"/>
          <w:kern w:val="0"/>
          <w:sz w:val="24"/>
          <w:u w:val="single"/>
        </w:rPr>
        <w:t>等。</w:t>
      </w:r>
    </w:p>
    <w:p w14:paraId="29D145DF">
      <w:pPr>
        <w:pStyle w:val="389"/>
        <w:spacing w:line="360" w:lineRule="auto"/>
        <w:ind w:firstLine="490"/>
        <w:rPr>
          <w:rFonts w:ascii="宋体" w:hAnsi="宋体"/>
          <w:sz w:val="24"/>
          <w:highlight w:val="none"/>
        </w:rPr>
      </w:pPr>
      <w:r>
        <w:rPr>
          <w:rFonts w:hint="eastAsia" w:ascii="宋体" w:hAnsi="宋体"/>
          <w:sz w:val="24"/>
          <w:highlight w:val="none"/>
        </w:rPr>
        <w:t>二、价格及支付：</w:t>
      </w:r>
    </w:p>
    <w:p w14:paraId="549CCD54">
      <w:pPr>
        <w:pStyle w:val="389"/>
        <w:spacing w:line="360" w:lineRule="auto"/>
        <w:ind w:firstLine="490"/>
        <w:rPr>
          <w:rFonts w:hint="eastAsia" w:ascii="宋体" w:hAnsi="宋体"/>
          <w:sz w:val="24"/>
          <w:highlight w:val="none"/>
        </w:rPr>
      </w:pPr>
      <w:r>
        <w:rPr>
          <w:rFonts w:hint="eastAsia" w:ascii="宋体" w:hAnsi="宋体"/>
          <w:sz w:val="24"/>
          <w:highlight w:val="none"/>
        </w:rPr>
        <w:t>1．按此次中标价格执行，合同</w:t>
      </w:r>
      <w:r>
        <w:rPr>
          <w:rFonts w:hint="eastAsia" w:ascii="宋体" w:hAnsi="宋体"/>
          <w:sz w:val="24"/>
          <w:highlight w:val="none"/>
          <w:lang w:val="en-US" w:eastAsia="zh-CN"/>
        </w:rPr>
        <w:t>总标的</w:t>
      </w:r>
      <w:r>
        <w:rPr>
          <w:rFonts w:hint="eastAsia" w:ascii="宋体" w:hAnsi="宋体"/>
          <w:sz w:val="24"/>
          <w:highlight w:val="none"/>
        </w:rPr>
        <w:t>金额为人民币（大写）：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xml:space="preserve">    </w:t>
      </w:r>
      <w:r>
        <w:rPr>
          <w:rFonts w:hint="eastAsia" w:ascii="宋体" w:hAnsi="宋体"/>
          <w:sz w:val="24"/>
          <w:highlight w:val="none"/>
        </w:rPr>
        <w:t>元），以上为含税价。不含税价为￥</w:t>
      </w:r>
      <w:r>
        <w:rPr>
          <w:rFonts w:hint="eastAsia" w:ascii="宋体" w:hAnsi="宋体"/>
          <w:sz w:val="24"/>
          <w:highlight w:val="none"/>
          <w:u w:val="single"/>
        </w:rPr>
        <w:t xml:space="preserve">       </w:t>
      </w:r>
      <w:r>
        <w:rPr>
          <w:rFonts w:hint="eastAsia" w:ascii="宋体" w:hAnsi="宋体"/>
          <w:sz w:val="24"/>
          <w:highlight w:val="none"/>
        </w:rPr>
        <w:t>元，税金为￥</w:t>
      </w:r>
      <w:r>
        <w:rPr>
          <w:rFonts w:hint="eastAsia" w:ascii="宋体" w:hAnsi="宋体"/>
          <w:sz w:val="24"/>
          <w:highlight w:val="none"/>
          <w:u w:val="single"/>
        </w:rPr>
        <w:t xml:space="preserve">     </w:t>
      </w:r>
      <w:r>
        <w:rPr>
          <w:rFonts w:hint="eastAsia" w:ascii="宋体" w:hAnsi="宋体"/>
          <w:sz w:val="24"/>
          <w:highlight w:val="none"/>
        </w:rPr>
        <w:t>元，增值税税率为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1A52CC52">
      <w:pPr>
        <w:pStyle w:val="389"/>
        <w:spacing w:line="360" w:lineRule="auto"/>
        <w:ind w:firstLine="490"/>
        <w:rPr>
          <w:rFonts w:hint="eastAsia" w:ascii="宋体" w:hAnsi="宋体"/>
          <w:sz w:val="24"/>
          <w:highlight w:val="none"/>
        </w:rPr>
      </w:pPr>
      <w:r>
        <w:rPr>
          <w:rFonts w:hint="eastAsia" w:ascii="宋体" w:hAnsi="宋体"/>
          <w:sz w:val="24"/>
          <w:highlight w:val="none"/>
          <w:lang w:val="en-US" w:eastAsia="zh-CN"/>
        </w:rPr>
        <w:t>本项目最终结算金额=各设备中标单价*各设备实际供货数量。</w:t>
      </w:r>
    </w:p>
    <w:p w14:paraId="6E0201A4">
      <w:pPr>
        <w:pStyle w:val="41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highlight w:val="none"/>
          <w:lang w:val="en-US" w:eastAsia="zh-CN" w:bidi="ar-SA"/>
        </w:rPr>
        <w:t>2、本合同</w:t>
      </w:r>
      <w:r>
        <w:rPr>
          <w:rFonts w:hint="eastAsia" w:ascii="宋体" w:hAnsi="宋体" w:cs="Times New Roman"/>
          <w:kern w:val="2"/>
          <w:sz w:val="24"/>
          <w:szCs w:val="22"/>
          <w:highlight w:val="none"/>
          <w:lang w:val="en-US" w:eastAsia="zh-CN" w:bidi="ar-SA"/>
        </w:rPr>
        <w:t>价格</w:t>
      </w:r>
      <w:r>
        <w:rPr>
          <w:rFonts w:hint="eastAsia" w:ascii="宋体" w:hAnsi="宋体" w:eastAsia="宋体" w:cs="Times New Roman"/>
          <w:kern w:val="2"/>
          <w:sz w:val="24"/>
          <w:szCs w:val="22"/>
          <w:highlight w:val="none"/>
          <w:u w:val="single"/>
          <w:lang w:val="en-US" w:eastAsia="zh-CN" w:bidi="ar-SA"/>
        </w:rPr>
        <w:t>已全部考虑了包括所有货物、服务、附件、指导安装、调试、人力、机械、运输、</w:t>
      </w:r>
      <w:r>
        <w:rPr>
          <w:rFonts w:hint="eastAsia" w:ascii="宋体" w:hAnsi="宋体" w:cs="Times New Roman"/>
          <w:kern w:val="2"/>
          <w:sz w:val="24"/>
          <w:szCs w:val="22"/>
          <w:highlight w:val="none"/>
          <w:u w:val="single"/>
          <w:lang w:val="en-US" w:eastAsia="zh-CN" w:bidi="ar-SA"/>
        </w:rPr>
        <w:t>厂内</w:t>
      </w:r>
      <w:r>
        <w:rPr>
          <w:rFonts w:hint="eastAsia" w:ascii="宋体" w:hAnsi="宋体" w:eastAsia="宋体" w:cs="Times New Roman"/>
          <w:kern w:val="2"/>
          <w:sz w:val="24"/>
          <w:szCs w:val="22"/>
          <w:highlight w:val="none"/>
          <w:u w:val="single"/>
          <w:lang w:val="en-US" w:eastAsia="zh-CN" w:bidi="ar-SA"/>
        </w:rPr>
        <w:t>仓储、各种税费（如遇政策性调整将作同步调整）、劳保、专利技术、质保、技术培训、验收、政策性文件规定及合同包含</w:t>
      </w:r>
      <w:r>
        <w:rPr>
          <w:rFonts w:hint="eastAsia" w:ascii="宋体" w:hAnsi="宋体" w:eastAsia="宋体" w:cs="Times New Roman"/>
          <w:kern w:val="2"/>
          <w:sz w:val="24"/>
          <w:szCs w:val="22"/>
          <w:u w:val="single"/>
          <w:lang w:val="en-US" w:eastAsia="zh-CN" w:bidi="ar-SA"/>
        </w:rPr>
        <w:t>的所有风险、责任等各项所有费用。</w:t>
      </w:r>
    </w:p>
    <w:p w14:paraId="71B70209">
      <w:pPr>
        <w:pStyle w:val="389"/>
        <w:spacing w:line="360" w:lineRule="auto"/>
        <w:ind w:firstLine="49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付款步骤：</w:t>
      </w:r>
    </w:p>
    <w:p w14:paraId="55F4E703">
      <w:pPr>
        <w:pStyle w:val="389"/>
        <w:numPr>
          <w:ilvl w:val="0"/>
          <w:numId w:val="0"/>
        </w:numPr>
        <w:spacing w:line="360" w:lineRule="auto"/>
        <w:ind w:firstLine="420" w:firstLineChars="0"/>
        <w:rPr>
          <w:rFonts w:hint="eastAsia" w:ascii="宋体" w:hAnsi="宋体"/>
          <w:sz w:val="24"/>
          <w:szCs w:val="22"/>
          <w:highlight w:val="none"/>
          <w:lang w:val="en-US" w:eastAsia="zh-CN"/>
        </w:rPr>
      </w:pPr>
      <w:r>
        <w:rPr>
          <w:rFonts w:hint="eastAsia" w:ascii="宋体" w:hAnsi="宋体"/>
          <w:color w:val="000000"/>
          <w:sz w:val="24"/>
          <w:highlight w:val="none"/>
          <w:lang w:eastAsia="zh-CN"/>
        </w:rPr>
        <w:t>（1）</w:t>
      </w:r>
      <w:r>
        <w:rPr>
          <w:rFonts w:hint="eastAsia" w:ascii="宋体" w:hAnsi="宋体"/>
          <w:sz w:val="24"/>
          <w:szCs w:val="22"/>
          <w:highlight w:val="none"/>
          <w:lang w:eastAsia="zh-CN"/>
        </w:rPr>
        <w:t>设备运送至</w:t>
      </w:r>
      <w:r>
        <w:rPr>
          <w:rFonts w:hint="eastAsia" w:ascii="宋体" w:hAnsi="宋体"/>
          <w:sz w:val="24"/>
          <w:szCs w:val="22"/>
          <w:highlight w:val="none"/>
          <w:lang w:val="en-US" w:eastAsia="zh-CN"/>
        </w:rPr>
        <w:t>甲方指定的施工现场或设备仓库，经甲乙双方检查合格并签署到货验收单后，乙方需在当月25日前开具所供货物的全额增值税税务发票（附上送货签收回单），甲方在收到发票之日起30天内支付发票金额40%的货款。</w:t>
      </w:r>
    </w:p>
    <w:p w14:paraId="6257934B">
      <w:pPr>
        <w:pStyle w:val="389"/>
        <w:numPr>
          <w:ilvl w:val="0"/>
          <w:numId w:val="0"/>
        </w:numPr>
        <w:spacing w:line="360" w:lineRule="auto"/>
        <w:ind w:firstLine="420" w:firstLineChars="0"/>
        <w:rPr>
          <w:rFonts w:hint="eastAsia" w:ascii="宋体" w:hAnsi="宋体"/>
          <w:sz w:val="24"/>
          <w:szCs w:val="22"/>
          <w:highlight w:val="none"/>
          <w:lang w:val="en-US" w:eastAsia="zh-CN"/>
        </w:rPr>
      </w:pPr>
      <w:r>
        <w:rPr>
          <w:rFonts w:hint="eastAsia" w:ascii="宋体" w:hAnsi="宋体"/>
          <w:sz w:val="24"/>
          <w:szCs w:val="22"/>
          <w:highlight w:val="none"/>
          <w:lang w:val="en-US" w:eastAsia="zh-CN"/>
        </w:rPr>
        <w:t>（2）设备正常运行，安装调试验收合格后，甲方在30天内支付所供货物发票金额20%的款项。</w:t>
      </w:r>
    </w:p>
    <w:p w14:paraId="5B6231B8">
      <w:pPr>
        <w:pStyle w:val="389"/>
        <w:numPr>
          <w:ilvl w:val="0"/>
          <w:numId w:val="0"/>
        </w:numPr>
        <w:spacing w:line="360" w:lineRule="auto"/>
        <w:ind w:firstLine="420" w:firstLineChars="0"/>
        <w:rPr>
          <w:rFonts w:hint="eastAsia" w:ascii="宋体" w:hAnsi="宋体"/>
          <w:color w:val="000000"/>
          <w:sz w:val="24"/>
          <w:highlight w:val="none"/>
          <w:lang w:val="en-US" w:eastAsia="zh-CN"/>
        </w:rPr>
      </w:pPr>
      <w:r>
        <w:rPr>
          <w:rFonts w:hint="eastAsia" w:ascii="宋体" w:hAnsi="宋体"/>
          <w:sz w:val="24"/>
          <w:szCs w:val="22"/>
          <w:highlight w:val="none"/>
          <w:lang w:val="en-US" w:eastAsia="zh-CN"/>
        </w:rPr>
        <w:t>（3）设备连续稳定运行三个月且无质量问题后，甲方支付30</w:t>
      </w:r>
      <w:r>
        <w:rPr>
          <w:rFonts w:hint="eastAsia" w:ascii="宋体" w:hAnsi="宋体"/>
          <w:color w:val="000000"/>
          <w:sz w:val="24"/>
          <w:highlight w:val="none"/>
          <w:lang w:val="en-US" w:eastAsia="zh-CN"/>
        </w:rPr>
        <w:t>%的货款。</w:t>
      </w:r>
    </w:p>
    <w:p w14:paraId="3CDA8620">
      <w:pPr>
        <w:pStyle w:val="389"/>
        <w:numPr>
          <w:ilvl w:val="0"/>
          <w:numId w:val="0"/>
        </w:numPr>
        <w:spacing w:line="360" w:lineRule="auto"/>
        <w:ind w:firstLine="420" w:firstLineChars="0"/>
        <w:rPr>
          <w:rFonts w:hint="eastAsia" w:ascii="宋体" w:hAnsi="宋体"/>
          <w:sz w:val="24"/>
          <w:szCs w:val="22"/>
          <w:highlight w:val="none"/>
          <w:lang w:val="en-US" w:eastAsia="zh-CN"/>
        </w:rPr>
      </w:pPr>
      <w:r>
        <w:rPr>
          <w:rFonts w:hint="eastAsia" w:ascii="宋体" w:hAnsi="宋体"/>
          <w:color w:val="000000"/>
          <w:sz w:val="24"/>
          <w:highlight w:val="none"/>
          <w:lang w:val="en-US" w:eastAsia="zh-CN"/>
        </w:rPr>
        <w:t>（4）余款10%作为质保金，</w:t>
      </w:r>
      <w:r>
        <w:rPr>
          <w:rFonts w:hint="eastAsia" w:ascii="宋体" w:hAnsi="宋体"/>
          <w:sz w:val="24"/>
          <w:szCs w:val="22"/>
          <w:highlight w:val="none"/>
          <w:lang w:val="en-US" w:eastAsia="zh-CN"/>
        </w:rPr>
        <w:t xml:space="preserve">在质保期满且无质量问题的情况下，甲方于三十日内一次性付清。 </w:t>
      </w:r>
    </w:p>
    <w:p w14:paraId="20555A44">
      <w:pPr>
        <w:pStyle w:val="389"/>
        <w:numPr>
          <w:ilvl w:val="0"/>
          <w:numId w:val="0"/>
        </w:numPr>
        <w:spacing w:line="360" w:lineRule="auto"/>
        <w:ind w:firstLine="42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rPr>
        <w:t>（由于财政结算等流程设计问题，特殊情况结算会滞后）</w:t>
      </w:r>
      <w:r>
        <w:rPr>
          <w:rFonts w:hint="eastAsia" w:cs="Times New Roman"/>
          <w:sz w:val="24"/>
          <w:highlight w:val="none"/>
          <w:lang w:eastAsia="zh-CN"/>
        </w:rPr>
        <w:t>。</w:t>
      </w:r>
    </w:p>
    <w:p w14:paraId="3D1B35A0">
      <w:pPr>
        <w:pStyle w:val="389"/>
        <w:numPr>
          <w:ilvl w:val="0"/>
          <w:numId w:val="0"/>
        </w:numPr>
        <w:spacing w:line="360" w:lineRule="auto"/>
        <w:ind w:firstLine="420" w:firstLineChars="0"/>
        <w:rPr>
          <w:rFonts w:ascii="宋体" w:hAnsi="宋体"/>
          <w:sz w:val="24"/>
        </w:rPr>
      </w:pPr>
      <w:r>
        <w:rPr>
          <w:rFonts w:hint="eastAsia" w:ascii="宋体" w:hAnsi="宋体" w:cs="Times New Roman"/>
          <w:kern w:val="2"/>
          <w:sz w:val="24"/>
          <w:szCs w:val="22"/>
          <w:lang w:val="en-US" w:eastAsia="zh-CN" w:bidi="ar-SA"/>
        </w:rPr>
        <w:t>4</w:t>
      </w:r>
      <w:r>
        <w:rPr>
          <w:rFonts w:ascii="宋体" w:hAnsi="宋体" w:eastAsia="宋体" w:cs="Times New Roman"/>
          <w:kern w:val="2"/>
          <w:sz w:val="24"/>
          <w:szCs w:val="22"/>
          <w:lang w:val="en-US" w:eastAsia="zh-CN" w:bidi="ar-SA"/>
        </w:rPr>
        <w:t>．</w:t>
      </w:r>
      <w:r>
        <w:rPr>
          <w:rFonts w:hint="eastAsia" w:ascii="宋体" w:hAnsi="宋体"/>
          <w:sz w:val="24"/>
        </w:rPr>
        <w:t>履约保证金形式：</w:t>
      </w:r>
      <w:r>
        <w:rPr>
          <w:rFonts w:hint="eastAsia" w:ascii="宋体" w:hAnsi="宋体"/>
          <w:sz w:val="24"/>
          <w:u w:val="single"/>
        </w:rPr>
        <w:t>履约保证金或者银行保函</w:t>
      </w:r>
      <w:r>
        <w:rPr>
          <w:rFonts w:hint="eastAsia" w:ascii="宋体" w:hAnsi="宋体"/>
          <w:sz w:val="24"/>
          <w:u w:val="single"/>
          <w:lang w:eastAsia="zh-CN"/>
        </w:rPr>
        <w:t>。</w:t>
      </w:r>
    </w:p>
    <w:p w14:paraId="2A238B1C">
      <w:pPr>
        <w:spacing w:line="360" w:lineRule="auto"/>
        <w:ind w:firstLine="480" w:firstLineChars="200"/>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14:paraId="6B28F9A2">
      <w:pPr>
        <w:pStyle w:val="389"/>
        <w:numPr>
          <w:ilvl w:val="0"/>
          <w:numId w:val="0"/>
        </w:numPr>
        <w:spacing w:line="360" w:lineRule="auto"/>
        <w:ind w:left="0" w:leftChars="0" w:firstLine="490" w:firstLineChars="0"/>
        <w:rPr>
          <w:rFonts w:ascii="宋体" w:hAnsi="宋体"/>
          <w:sz w:val="24"/>
        </w:rPr>
      </w:pPr>
      <w:r>
        <w:rPr>
          <w:rFonts w:hint="eastAsia" w:ascii="宋体" w:hAnsi="宋体" w:cs="Times New Roman"/>
          <w:kern w:val="2"/>
          <w:sz w:val="24"/>
          <w:szCs w:val="22"/>
          <w:lang w:val="en-US" w:eastAsia="zh-CN" w:bidi="ar-SA"/>
        </w:rPr>
        <w:t>5</w:t>
      </w:r>
      <w:r>
        <w:rPr>
          <w:rFonts w:ascii="宋体" w:hAnsi="宋体" w:eastAsia="宋体" w:cs="Times New Roman"/>
          <w:kern w:val="2"/>
          <w:sz w:val="24"/>
          <w:szCs w:val="22"/>
          <w:lang w:val="en-US" w:eastAsia="zh-CN" w:bidi="ar-SA"/>
        </w:rPr>
        <w:t>．</w:t>
      </w:r>
      <w:r>
        <w:rPr>
          <w:rFonts w:hint="eastAsia" w:ascii="宋体" w:hAnsi="宋体"/>
          <w:sz w:val="24"/>
        </w:rPr>
        <w:t>履约保证金的退还：</w:t>
      </w:r>
      <w:r>
        <w:rPr>
          <w:rFonts w:hint="eastAsia" w:ascii="宋体" w:hAnsi="宋体"/>
          <w:sz w:val="24"/>
          <w:u w:val="single"/>
          <w:lang w:val="en-US" w:eastAsia="zh-CN"/>
        </w:rPr>
        <w:t>投</w:t>
      </w:r>
      <w:r>
        <w:rPr>
          <w:rFonts w:hint="eastAsia"/>
          <w:sz w:val="24"/>
          <w:u w:val="single"/>
        </w:rPr>
        <w:t>标总价的</w:t>
      </w:r>
      <w:r>
        <w:rPr>
          <w:rFonts w:hint="eastAsia"/>
          <w:b/>
          <w:bCs/>
          <w:sz w:val="24"/>
          <w:u w:val="single"/>
        </w:rPr>
        <w:t>10%（履约保证金或银行保函），</w:t>
      </w:r>
      <w:r>
        <w:rPr>
          <w:rFonts w:hint="eastAsia"/>
          <w:b w:val="0"/>
          <w:bCs w:val="0"/>
          <w:sz w:val="24"/>
          <w:u w:val="single"/>
          <w:lang w:val="en-US" w:eastAsia="zh-CN"/>
        </w:rPr>
        <w:t>于</w:t>
      </w:r>
      <w:r>
        <w:rPr>
          <w:rFonts w:hint="eastAsia" w:ascii="宋体" w:hAnsi="宋体"/>
          <w:sz w:val="24"/>
          <w:u w:val="single"/>
        </w:rPr>
        <w:t>设备</w:t>
      </w:r>
      <w:r>
        <w:rPr>
          <w:rFonts w:hint="eastAsia" w:ascii="宋体" w:hAnsi="宋体"/>
          <w:sz w:val="24"/>
          <w:u w:val="single"/>
          <w:lang w:val="en-US" w:eastAsia="zh-CN"/>
        </w:rPr>
        <w:t>安装调试</w:t>
      </w:r>
      <w:r>
        <w:rPr>
          <w:rFonts w:hint="eastAsia" w:ascii="宋体" w:hAnsi="宋体"/>
          <w:sz w:val="24"/>
          <w:u w:val="single"/>
        </w:rPr>
        <w:t>验收合格后无息退还。</w:t>
      </w:r>
    </w:p>
    <w:p w14:paraId="2118DCA4">
      <w:pPr>
        <w:pStyle w:val="389"/>
        <w:numPr>
          <w:ilvl w:val="0"/>
          <w:numId w:val="0"/>
        </w:numPr>
        <w:spacing w:line="360" w:lineRule="auto"/>
        <w:ind w:left="0" w:leftChars="0" w:firstLine="490" w:firstLineChars="0"/>
        <w:rPr>
          <w:rFonts w:ascii="宋体" w:hAnsi="宋体"/>
          <w:sz w:val="24"/>
        </w:rPr>
      </w:pPr>
      <w:r>
        <w:rPr>
          <w:rFonts w:hint="eastAsia" w:ascii="宋体" w:hAnsi="宋体" w:cs="Times New Roman"/>
          <w:kern w:val="2"/>
          <w:sz w:val="24"/>
          <w:szCs w:val="22"/>
          <w:lang w:val="en-US" w:eastAsia="zh-CN" w:bidi="ar-SA"/>
        </w:rPr>
        <w:t>6</w:t>
      </w:r>
      <w:r>
        <w:rPr>
          <w:rFonts w:ascii="宋体" w:hAnsi="宋体" w:eastAsia="宋体" w:cs="Times New Roman"/>
          <w:kern w:val="2"/>
          <w:sz w:val="24"/>
          <w:szCs w:val="22"/>
          <w:lang w:val="en-US" w:eastAsia="zh-CN" w:bidi="ar-SA"/>
        </w:rPr>
        <w:t>．</w:t>
      </w:r>
      <w:r>
        <w:rPr>
          <w:rFonts w:hint="eastAsia" w:ascii="宋体" w:hAnsi="宋体"/>
          <w:sz w:val="24"/>
        </w:rPr>
        <w:t>付款方式：银行转帐。</w:t>
      </w:r>
    </w:p>
    <w:p w14:paraId="2A358F3E">
      <w:pPr>
        <w:pStyle w:val="389"/>
        <w:spacing w:line="360" w:lineRule="auto"/>
        <w:ind w:firstLine="490"/>
        <w:rPr>
          <w:rFonts w:ascii="宋体" w:hAnsi="宋体"/>
          <w:sz w:val="24"/>
          <w:highlight w:val="none"/>
        </w:rPr>
      </w:pPr>
      <w:r>
        <w:rPr>
          <w:rFonts w:hint="eastAsia" w:ascii="宋体" w:hAnsi="宋体"/>
          <w:sz w:val="24"/>
        </w:rPr>
        <w:t>7. 供货期：</w:t>
      </w:r>
      <w:r>
        <w:rPr>
          <w:rFonts w:hint="eastAsia" w:ascii="宋体" w:hAnsi="宋体"/>
          <w:color w:val="000000"/>
          <w:sz w:val="24"/>
          <w:szCs w:val="22"/>
          <w:highlight w:val="none"/>
          <w:u w:val="none"/>
          <w:lang w:val="zh-CN" w:eastAsia="zh-CN"/>
        </w:rPr>
        <w:t>分批供货，乙方在接到甲方的发货通知之日起4</w:t>
      </w:r>
      <w:r>
        <w:rPr>
          <w:rFonts w:hint="eastAsia" w:ascii="宋体" w:hAnsi="宋体"/>
          <w:color w:val="000000"/>
          <w:sz w:val="24"/>
          <w:szCs w:val="22"/>
          <w:highlight w:val="none"/>
          <w:u w:val="none"/>
          <w:lang w:val="en-US" w:eastAsia="zh-CN"/>
        </w:rPr>
        <w:t>0</w:t>
      </w:r>
      <w:r>
        <w:rPr>
          <w:rFonts w:hint="eastAsia" w:ascii="宋体" w:hAnsi="宋体"/>
          <w:color w:val="000000"/>
          <w:sz w:val="24"/>
          <w:szCs w:val="22"/>
          <w:highlight w:val="none"/>
          <w:u w:val="none"/>
          <w:lang w:val="zh-CN" w:eastAsia="zh-CN"/>
        </w:rPr>
        <w:t>天内完成供货（具体交货期限接</w:t>
      </w:r>
      <w:r>
        <w:rPr>
          <w:rFonts w:hint="eastAsia" w:ascii="宋体" w:hAnsi="宋体"/>
          <w:color w:val="000000"/>
          <w:sz w:val="24"/>
          <w:szCs w:val="22"/>
          <w:highlight w:val="none"/>
          <w:u w:val="none"/>
          <w:lang w:val="en-US" w:eastAsia="zh-CN"/>
        </w:rPr>
        <w:t>甲方</w:t>
      </w:r>
      <w:r>
        <w:rPr>
          <w:rFonts w:hint="eastAsia" w:ascii="宋体" w:hAnsi="宋体"/>
          <w:color w:val="000000"/>
          <w:sz w:val="24"/>
          <w:szCs w:val="22"/>
          <w:highlight w:val="none"/>
          <w:u w:val="none"/>
          <w:lang w:val="zh-CN" w:eastAsia="zh-CN"/>
        </w:rPr>
        <w:t>通知，否则后果一切自负）。</w:t>
      </w:r>
    </w:p>
    <w:p w14:paraId="076DF8B7">
      <w:pPr>
        <w:pStyle w:val="389"/>
        <w:spacing w:line="360" w:lineRule="auto"/>
        <w:ind w:firstLine="490"/>
        <w:rPr>
          <w:rFonts w:ascii="宋体" w:hAnsi="宋体"/>
          <w:b/>
          <w:sz w:val="24"/>
          <w:highlight w:val="none"/>
        </w:rPr>
      </w:pPr>
      <w:r>
        <w:rPr>
          <w:rFonts w:hint="eastAsia" w:ascii="宋体" w:hAnsi="宋体"/>
          <w:b/>
          <w:sz w:val="24"/>
          <w:highlight w:val="none"/>
        </w:rPr>
        <w:t>三、质量保证：</w:t>
      </w:r>
    </w:p>
    <w:p w14:paraId="4EA1E201">
      <w:pPr>
        <w:pStyle w:val="389"/>
        <w:spacing w:line="360" w:lineRule="auto"/>
        <w:ind w:firstLine="490"/>
        <w:rPr>
          <w:rFonts w:ascii="宋体" w:hAnsi="宋体"/>
          <w:sz w:val="24"/>
          <w:highlight w:val="none"/>
        </w:rPr>
      </w:pPr>
      <w:r>
        <w:rPr>
          <w:rFonts w:hint="eastAsia" w:ascii="宋体" w:hAnsi="宋体"/>
          <w:sz w:val="24"/>
          <w:highlight w:val="none"/>
        </w:rPr>
        <w:t>1、</w:t>
      </w:r>
      <w:r>
        <w:rPr>
          <w:rFonts w:ascii="宋体" w:hAnsi="宋体"/>
          <w:sz w:val="24"/>
          <w:highlight w:val="none"/>
        </w:rPr>
        <w:t>产品的质量、技术标准按</w:t>
      </w:r>
      <w:r>
        <w:rPr>
          <w:rFonts w:hint="eastAsia" w:ascii="宋体" w:hAnsi="宋体"/>
          <w:sz w:val="24"/>
          <w:highlight w:val="none"/>
        </w:rPr>
        <w:t>国家有关约定、图纸设计要求、</w:t>
      </w:r>
      <w:r>
        <w:rPr>
          <w:rFonts w:hint="eastAsia" w:ascii="宋体" w:hAnsi="宋体"/>
          <w:sz w:val="24"/>
          <w:highlight w:val="none"/>
          <w:lang w:val="en-US" w:eastAsia="zh-CN"/>
        </w:rPr>
        <w:t>满足</w:t>
      </w:r>
      <w:r>
        <w:rPr>
          <w:rFonts w:ascii="宋体" w:hAnsi="宋体"/>
          <w:sz w:val="24"/>
          <w:highlight w:val="none"/>
        </w:rPr>
        <w:t>招标文件和投标文件</w:t>
      </w:r>
      <w:r>
        <w:rPr>
          <w:rFonts w:hint="eastAsia" w:ascii="宋体" w:hAnsi="宋体"/>
          <w:sz w:val="24"/>
          <w:highlight w:val="none"/>
          <w:lang w:val="en-US" w:eastAsia="zh-CN"/>
        </w:rPr>
        <w:t>要求</w:t>
      </w:r>
      <w:r>
        <w:rPr>
          <w:rFonts w:hint="eastAsia" w:ascii="宋体" w:hAnsi="宋体"/>
          <w:sz w:val="24"/>
          <w:highlight w:val="none"/>
        </w:rPr>
        <w:t>。</w:t>
      </w:r>
    </w:p>
    <w:p w14:paraId="0B9EDF95">
      <w:pPr>
        <w:pStyle w:val="389"/>
        <w:spacing w:line="360" w:lineRule="auto"/>
        <w:ind w:firstLine="490"/>
        <w:rPr>
          <w:rFonts w:ascii="宋体" w:hAnsi="宋体"/>
          <w:sz w:val="24"/>
          <w:highlight w:val="none"/>
        </w:rPr>
      </w:pPr>
      <w:r>
        <w:rPr>
          <w:rFonts w:hint="eastAsia" w:ascii="宋体" w:hAnsi="宋体"/>
          <w:sz w:val="24"/>
          <w:highlight w:val="none"/>
        </w:rPr>
        <w:t>2、</w:t>
      </w:r>
      <w:r>
        <w:rPr>
          <w:rFonts w:ascii="宋体" w:hAnsi="宋体"/>
          <w:sz w:val="24"/>
          <w:highlight w:val="none"/>
        </w:rPr>
        <w:t>乙方应按合同规定的材料、设备性能、质量标准向甲方提供未经使用的符合质量要求的全新材料、设备。</w:t>
      </w:r>
    </w:p>
    <w:p w14:paraId="4925671E">
      <w:pPr>
        <w:pStyle w:val="389"/>
        <w:spacing w:line="360" w:lineRule="auto"/>
        <w:ind w:firstLine="490"/>
        <w:rPr>
          <w:rFonts w:ascii="宋体" w:hAnsi="宋体"/>
          <w:sz w:val="24"/>
          <w:highlight w:val="none"/>
        </w:rPr>
      </w:pPr>
      <w:r>
        <w:rPr>
          <w:rFonts w:hint="eastAsia" w:ascii="宋体" w:hAnsi="宋体"/>
          <w:sz w:val="24"/>
          <w:highlight w:val="none"/>
        </w:rPr>
        <w:t>3、材料、设备运至施工现场后</w:t>
      </w:r>
      <w:r>
        <w:rPr>
          <w:rFonts w:ascii="宋体" w:hAnsi="宋体"/>
          <w:sz w:val="24"/>
          <w:highlight w:val="none"/>
        </w:rPr>
        <w:t>,</w:t>
      </w:r>
      <w:r>
        <w:rPr>
          <w:rFonts w:hint="eastAsia" w:ascii="宋体" w:hAnsi="宋体"/>
          <w:sz w:val="24"/>
          <w:highlight w:val="none"/>
        </w:rPr>
        <w:t>在施工方未验收之前</w:t>
      </w:r>
      <w:r>
        <w:rPr>
          <w:rFonts w:ascii="宋体" w:hAnsi="宋体"/>
          <w:sz w:val="24"/>
          <w:highlight w:val="none"/>
        </w:rPr>
        <w:t>,</w:t>
      </w:r>
      <w:r>
        <w:rPr>
          <w:rFonts w:hint="eastAsia" w:ascii="宋体" w:hAnsi="宋体"/>
          <w:sz w:val="24"/>
          <w:highlight w:val="none"/>
        </w:rPr>
        <w:t>由</w:t>
      </w:r>
      <w:r>
        <w:rPr>
          <w:rFonts w:hint="eastAsia" w:ascii="宋体" w:hAnsi="宋体"/>
          <w:sz w:val="24"/>
          <w:highlight w:val="none"/>
          <w:lang w:val="en-US" w:eastAsia="zh-CN"/>
        </w:rPr>
        <w:t>乙方</w:t>
      </w:r>
      <w:r>
        <w:rPr>
          <w:rFonts w:hint="eastAsia" w:ascii="宋体" w:hAnsi="宋体"/>
          <w:sz w:val="24"/>
          <w:highlight w:val="none"/>
        </w:rPr>
        <w:t>承担一切保管责任。</w:t>
      </w:r>
    </w:p>
    <w:p w14:paraId="318EDF4E">
      <w:pPr>
        <w:pStyle w:val="389"/>
        <w:spacing w:line="360" w:lineRule="auto"/>
        <w:ind w:firstLine="490"/>
        <w:rPr>
          <w:rFonts w:hint="eastAsia" w:ascii="宋体" w:hAnsi="宋体"/>
          <w:b/>
          <w:sz w:val="24"/>
          <w:highlight w:val="none"/>
          <w:lang w:val="en-US" w:eastAsia="zh-CN"/>
        </w:rPr>
      </w:pPr>
      <w:r>
        <w:rPr>
          <w:rFonts w:hint="eastAsia" w:ascii="宋体" w:hAnsi="宋体"/>
          <w:b/>
          <w:sz w:val="24"/>
          <w:highlight w:val="none"/>
        </w:rPr>
        <w:t>四、</w:t>
      </w:r>
      <w:r>
        <w:rPr>
          <w:rFonts w:hint="eastAsia" w:ascii="宋体" w:hAnsi="宋体"/>
          <w:b/>
          <w:sz w:val="24"/>
          <w:highlight w:val="none"/>
          <w:lang w:val="en-US" w:eastAsia="zh-CN"/>
        </w:rPr>
        <w:t>质量验收要求</w:t>
      </w:r>
    </w:p>
    <w:p w14:paraId="7BFBA0C8">
      <w:pPr>
        <w:pStyle w:val="389"/>
        <w:spacing w:line="360" w:lineRule="auto"/>
        <w:ind w:firstLine="490"/>
        <w:rPr>
          <w:rFonts w:hint="eastAsia" w:eastAsia="宋体"/>
          <w:highlight w:val="none"/>
          <w:lang w:eastAsia="zh-CN"/>
        </w:rPr>
      </w:pPr>
      <w:r>
        <w:rPr>
          <w:rFonts w:hint="eastAsia" w:ascii="宋体" w:hAnsi="宋体" w:eastAsia="宋体" w:cs="宋体"/>
          <w:b w:val="0"/>
          <w:bCs/>
          <w:sz w:val="24"/>
          <w:highlight w:val="none"/>
          <w:lang w:val="en-US" w:eastAsia="zh-CN"/>
        </w:rPr>
        <w:t>1、乙方中标后，</w:t>
      </w:r>
      <w:r>
        <w:rPr>
          <w:rFonts w:hint="eastAsia" w:ascii="宋体" w:hAnsi="宋体" w:eastAsia="宋体" w:cs="宋体"/>
          <w:b w:val="0"/>
          <w:bCs/>
          <w:i w:val="0"/>
          <w:iCs w:val="0"/>
          <w:caps w:val="0"/>
          <w:color w:val="0F1115"/>
          <w:spacing w:val="0"/>
          <w:sz w:val="24"/>
          <w:szCs w:val="24"/>
          <w:highlight w:val="none"/>
          <w:shd w:val="clear" w:fill="FFFFFF"/>
          <w:lang w:val="en-US" w:eastAsia="zh-CN"/>
        </w:rPr>
        <w:t>甲</w:t>
      </w:r>
      <w:r>
        <w:rPr>
          <w:rFonts w:hint="eastAsia" w:ascii="Segoe UI" w:hAnsi="Segoe UI" w:eastAsia="Segoe UI" w:cs="Segoe UI"/>
          <w:i w:val="0"/>
          <w:iCs w:val="0"/>
          <w:caps w:val="0"/>
          <w:color w:val="0F1115"/>
          <w:spacing w:val="0"/>
          <w:sz w:val="24"/>
          <w:szCs w:val="24"/>
          <w:highlight w:val="none"/>
          <w:shd w:val="clear" w:fill="FFFFFF"/>
          <w:lang w:val="en-US" w:eastAsia="zh-CN"/>
        </w:rPr>
        <w:t>方有权于合同签订前或根据项目实际需要，对乙方投标文件中载明的关键事项进行核实，包括但不限于相关资质证书、销售业绩、检测报告及生产设备等的真实性与实际状况。乙方必须予以配合，提供核查事项相关的原始文件、实物等供甲方查验。若核查发现乙方存在对投标文件</w:t>
      </w:r>
      <w:r>
        <w:rPr>
          <w:rStyle w:val="78"/>
          <w:rFonts w:hint="eastAsia" w:ascii="Segoe UI" w:hAnsi="Segoe UI" w:eastAsia="Segoe UI" w:cs="Segoe UI"/>
          <w:b/>
          <w:bCs/>
          <w:i w:val="0"/>
          <w:iCs w:val="0"/>
          <w:caps w:val="0"/>
          <w:color w:val="0F1115"/>
          <w:spacing w:val="0"/>
          <w:sz w:val="24"/>
          <w:szCs w:val="24"/>
          <w:highlight w:val="none"/>
          <w:shd w:val="clear" w:fill="FFFFFF"/>
          <w:lang w:val="en-US" w:eastAsia="zh-CN"/>
        </w:rPr>
        <w:t>实质性内容</w:t>
      </w:r>
      <w:r>
        <w:rPr>
          <w:rFonts w:hint="eastAsia" w:ascii="Segoe UI" w:hAnsi="Segoe UI" w:eastAsia="Segoe UI" w:cs="Segoe UI"/>
          <w:i w:val="0"/>
          <w:iCs w:val="0"/>
          <w:caps w:val="0"/>
          <w:color w:val="0F1115"/>
          <w:spacing w:val="0"/>
          <w:sz w:val="24"/>
          <w:szCs w:val="24"/>
          <w:highlight w:val="none"/>
          <w:shd w:val="clear" w:fill="FFFFFF"/>
          <w:lang w:val="en-US" w:eastAsia="zh-CN"/>
        </w:rPr>
        <w:t>（如关键资质、核心技术参数、主要业绩、核心设备等）的</w:t>
      </w:r>
      <w:r>
        <w:rPr>
          <w:rStyle w:val="78"/>
          <w:rFonts w:hint="eastAsia" w:ascii="Segoe UI" w:hAnsi="Segoe UI" w:eastAsia="Segoe UI" w:cs="Segoe UI"/>
          <w:b/>
          <w:bCs/>
          <w:i w:val="0"/>
          <w:iCs w:val="0"/>
          <w:caps w:val="0"/>
          <w:color w:val="0F1115"/>
          <w:spacing w:val="0"/>
          <w:sz w:val="24"/>
          <w:szCs w:val="24"/>
          <w:highlight w:val="none"/>
          <w:shd w:val="clear" w:fill="FFFFFF"/>
          <w:lang w:val="en-US" w:eastAsia="zh-CN"/>
        </w:rPr>
        <w:t>虚假响应、隐瞒或伪造行为</w:t>
      </w:r>
      <w:r>
        <w:rPr>
          <w:rFonts w:hint="eastAsia" w:ascii="Segoe UI" w:hAnsi="Segoe UI" w:eastAsia="Segoe UI" w:cs="Segoe UI"/>
          <w:i w:val="0"/>
          <w:iCs w:val="0"/>
          <w:caps w:val="0"/>
          <w:color w:val="0F1115"/>
          <w:spacing w:val="0"/>
          <w:sz w:val="24"/>
          <w:szCs w:val="24"/>
          <w:highlight w:val="none"/>
          <w:shd w:val="clear" w:fill="FFFFFF"/>
          <w:lang w:val="en-US" w:eastAsia="zh-CN"/>
        </w:rPr>
        <w:t>，构成《中华人民共和国招标投标法》及其实施条例所规定的弄虚作假骗取中标情形的，甲方有权</w:t>
      </w:r>
      <w:r>
        <w:rPr>
          <w:rStyle w:val="78"/>
          <w:rFonts w:hint="eastAsia" w:ascii="Segoe UI" w:hAnsi="Segoe UI" w:eastAsia="Segoe UI" w:cs="Segoe UI"/>
          <w:b/>
          <w:bCs/>
          <w:i w:val="0"/>
          <w:iCs w:val="0"/>
          <w:caps w:val="0"/>
          <w:color w:val="0F1115"/>
          <w:spacing w:val="0"/>
          <w:sz w:val="24"/>
          <w:szCs w:val="24"/>
          <w:highlight w:val="none"/>
          <w:shd w:val="clear" w:fill="FFFFFF"/>
          <w:lang w:val="en-US" w:eastAsia="zh-CN"/>
        </w:rPr>
        <w:t>单方面取消乙方的中标资格</w:t>
      </w:r>
      <w:r>
        <w:rPr>
          <w:rFonts w:hint="eastAsia" w:ascii="Segoe UI" w:hAnsi="Segoe UI" w:eastAsia="Segoe UI" w:cs="Segoe UI"/>
          <w:i w:val="0"/>
          <w:iCs w:val="0"/>
          <w:caps w:val="0"/>
          <w:color w:val="0F1115"/>
          <w:spacing w:val="0"/>
          <w:sz w:val="24"/>
          <w:szCs w:val="24"/>
          <w:highlight w:val="none"/>
          <w:shd w:val="clear" w:fill="FFFFFF"/>
          <w:lang w:val="en-US" w:eastAsia="zh-CN"/>
        </w:rPr>
        <w:t>，不予退还其投标保证金，并依法向有关行政监督部门报告，乙方须承担由此引发的一切法律责任。</w:t>
      </w:r>
    </w:p>
    <w:p w14:paraId="4144C26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、设备到达现场后，乙方应派人参与甲方的开箱检验工作，甲方将委托有关专家进行当场验收，乙方配合甲方完成验收工作。</w:t>
      </w:r>
    </w:p>
    <w:p w14:paraId="726C2541">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lang w:val="en-US" w:eastAsia="zh-CN"/>
        </w:rPr>
        <w:t>3</w:t>
      </w:r>
      <w:r>
        <w:rPr>
          <w:rFonts w:ascii="宋体" w:hAnsi="宋体"/>
          <w:sz w:val="24"/>
          <w:highlight w:val="none"/>
        </w:rPr>
        <w:t>、乙方交货前应按</w:t>
      </w:r>
      <w:r>
        <w:rPr>
          <w:rFonts w:hint="eastAsia" w:ascii="宋体" w:hAnsi="宋体"/>
          <w:sz w:val="24"/>
          <w:highlight w:val="none"/>
        </w:rPr>
        <w:t>国家有关</w:t>
      </w:r>
      <w:r>
        <w:rPr>
          <w:rFonts w:ascii="宋体" w:hAnsi="宋体"/>
          <w:sz w:val="24"/>
          <w:highlight w:val="none"/>
        </w:rPr>
        <w:t>规定的检验方法，作出全面检测。其记录附在质量证书内。但有关质量、规格、性能、数量或重量的检验不应视为最终检验。乙方检验的结果和详细要求应在质量证明书中加以说明。</w:t>
      </w:r>
    </w:p>
    <w:p w14:paraId="1DACCE0F">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ˎ̥" w:hAnsi="ˎ̥" w:cs="宋体"/>
          <w:color w:val="0000FF"/>
          <w:kern w:val="0"/>
          <w:sz w:val="24"/>
          <w:highlight w:val="none"/>
          <w:u w:val="single"/>
        </w:rPr>
      </w:pPr>
      <w:r>
        <w:rPr>
          <w:rFonts w:hint="eastAsia" w:ascii="宋体" w:hAnsi="宋体"/>
          <w:color w:val="000000"/>
          <w:sz w:val="24"/>
          <w:highlight w:val="none"/>
          <w:lang w:val="en-US" w:eastAsia="zh-CN"/>
        </w:rPr>
        <w:t>4</w:t>
      </w:r>
      <w:r>
        <w:rPr>
          <w:rFonts w:hint="eastAsia" w:ascii="宋体" w:hAnsi="宋体"/>
          <w:color w:val="000000"/>
          <w:sz w:val="24"/>
          <w:highlight w:val="none"/>
        </w:rPr>
        <w:t>、验收标准：</w:t>
      </w:r>
      <w:r>
        <w:rPr>
          <w:rFonts w:hint="eastAsia" w:ascii="宋体" w:hAnsi="宋体"/>
          <w:sz w:val="24"/>
          <w:highlight w:val="none"/>
        </w:rPr>
        <w:t>合格，符合国家现行有关标准、相关行业规范及</w:t>
      </w:r>
      <w:r>
        <w:rPr>
          <w:rFonts w:hint="eastAsia" w:ascii="宋体" w:hAnsi="宋体"/>
          <w:sz w:val="24"/>
          <w:highlight w:val="none"/>
          <w:lang w:val="en-US" w:eastAsia="zh-CN"/>
        </w:rPr>
        <w:t>甲方</w:t>
      </w:r>
      <w:r>
        <w:rPr>
          <w:rFonts w:hint="eastAsia" w:ascii="宋体" w:hAnsi="宋体"/>
          <w:sz w:val="24"/>
          <w:highlight w:val="none"/>
        </w:rPr>
        <w:t>要求，由</w:t>
      </w:r>
      <w:r>
        <w:rPr>
          <w:rFonts w:hint="eastAsia" w:ascii="宋体" w:hAnsi="宋体"/>
          <w:sz w:val="24"/>
          <w:highlight w:val="none"/>
          <w:lang w:val="en-US" w:eastAsia="zh-CN"/>
        </w:rPr>
        <w:t>甲方</w:t>
      </w:r>
      <w:r>
        <w:rPr>
          <w:rFonts w:hint="eastAsia" w:ascii="宋体" w:hAnsi="宋体"/>
          <w:sz w:val="24"/>
          <w:highlight w:val="none"/>
        </w:rPr>
        <w:t>负责验收。</w:t>
      </w:r>
    </w:p>
    <w:p w14:paraId="683EE3DC">
      <w:pPr>
        <w:pStyle w:val="38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ˎ̥" w:hAnsi="ˎ̥" w:eastAsia="宋体" w:cs="宋体"/>
          <w:color w:val="0000FF"/>
          <w:kern w:val="0"/>
          <w:sz w:val="24"/>
          <w:highlight w:val="none"/>
          <w:u w:val="single"/>
          <w:lang w:eastAsia="zh-CN"/>
        </w:rPr>
      </w:pPr>
      <w:r>
        <w:rPr>
          <w:rFonts w:hint="eastAsia" w:ascii="宋体" w:hAnsi="宋体" w:cs="宋体"/>
          <w:kern w:val="0"/>
          <w:sz w:val="24"/>
          <w:highlight w:val="none"/>
          <w:lang w:val="en-US" w:eastAsia="zh-CN"/>
        </w:rPr>
        <w:t>5</w:t>
      </w:r>
      <w:r>
        <w:rPr>
          <w:rFonts w:ascii="宋体" w:hAnsi="宋体" w:cs="宋体"/>
          <w:kern w:val="0"/>
          <w:sz w:val="24"/>
          <w:highlight w:val="none"/>
        </w:rPr>
        <w:t>、</w:t>
      </w:r>
      <w:r>
        <w:rPr>
          <w:rFonts w:hint="eastAsia" w:ascii="宋体" w:hAnsi="宋体"/>
          <w:sz w:val="24"/>
          <w:highlight w:val="none"/>
        </w:rPr>
        <w:t>供货前和供货过程中，投标产品一旦质量不合格或不符合投标承诺要求，立即进行整改到符合招标文件要求为止，否则按违约处理，甲方将解除合同，同时对乙方处以扣除履约保证金的违约处罚</w:t>
      </w:r>
      <w:r>
        <w:rPr>
          <w:rFonts w:hint="eastAsia" w:ascii="宋体" w:hAnsi="宋体"/>
          <w:sz w:val="24"/>
          <w:highlight w:val="none"/>
          <w:lang w:eastAsia="zh-CN"/>
        </w:rPr>
        <w:t>。</w:t>
      </w:r>
    </w:p>
    <w:p w14:paraId="42CC66E9">
      <w:pPr>
        <w:pStyle w:val="389"/>
        <w:numPr>
          <w:ilvl w:val="0"/>
          <w:numId w:val="26"/>
        </w:numPr>
        <w:spacing w:line="360" w:lineRule="auto"/>
        <w:ind w:firstLine="490"/>
        <w:rPr>
          <w:b/>
          <w:color w:val="000000"/>
          <w:sz w:val="24"/>
          <w:highlight w:val="none"/>
        </w:rPr>
      </w:pPr>
      <w:r>
        <w:rPr>
          <w:rFonts w:hint="eastAsia"/>
          <w:b/>
          <w:color w:val="000000"/>
          <w:sz w:val="24"/>
          <w:highlight w:val="none"/>
        </w:rPr>
        <w:t>供货要求：</w:t>
      </w:r>
    </w:p>
    <w:p w14:paraId="60DCC7BA">
      <w:pPr>
        <w:pStyle w:val="389"/>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cs="宋体"/>
          <w:color w:val="000000"/>
          <w:kern w:val="0"/>
          <w:sz w:val="24"/>
          <w:szCs w:val="24"/>
          <w:highlight w:val="none"/>
        </w:rPr>
      </w:pPr>
      <w:r>
        <w:rPr>
          <w:rFonts w:hint="eastAsia" w:ascii="宋体" w:hAnsi="宋体"/>
          <w:sz w:val="24"/>
          <w:highlight w:val="none"/>
        </w:rPr>
        <w:t>在供货期限内，</w:t>
      </w:r>
      <w:r>
        <w:rPr>
          <w:rFonts w:hint="eastAsia" w:ascii="宋体" w:hAnsi="宋体"/>
          <w:sz w:val="24"/>
          <w:highlight w:val="none"/>
          <w:lang w:val="en-US" w:eastAsia="zh-CN"/>
        </w:rPr>
        <w:t>乙方</w:t>
      </w:r>
      <w:r>
        <w:rPr>
          <w:rFonts w:hint="eastAsia" w:ascii="宋体" w:hAnsi="宋体"/>
          <w:sz w:val="24"/>
          <w:highlight w:val="none"/>
        </w:rPr>
        <w:t>必须按照</w:t>
      </w:r>
      <w:r>
        <w:rPr>
          <w:rFonts w:hint="eastAsia" w:ascii="宋体" w:hAnsi="宋体"/>
          <w:sz w:val="24"/>
          <w:highlight w:val="none"/>
          <w:lang w:val="en-US" w:eastAsia="zh-CN"/>
        </w:rPr>
        <w:t>甲方</w:t>
      </w:r>
      <w:r>
        <w:rPr>
          <w:rFonts w:hint="eastAsia" w:ascii="宋体" w:hAnsi="宋体"/>
          <w:sz w:val="24"/>
          <w:highlight w:val="none"/>
        </w:rPr>
        <w:t>的工程进度要求和实际需要数量保证供货的连续性，如延误交货或中断供货将承担违约责任。</w:t>
      </w:r>
      <w:r>
        <w:rPr>
          <w:rFonts w:hint="eastAsia" w:ascii="宋体" w:hAnsi="宋体"/>
          <w:sz w:val="24"/>
          <w:highlight w:val="none"/>
          <w:lang w:val="en-US" w:eastAsia="zh-CN"/>
        </w:rPr>
        <w:t>乙方</w:t>
      </w:r>
      <w:r>
        <w:rPr>
          <w:rFonts w:hint="eastAsia" w:ascii="宋体" w:hAnsi="宋体"/>
          <w:sz w:val="24"/>
          <w:highlight w:val="none"/>
        </w:rPr>
        <w:t>必须承诺按招标文件的要求完成本次招标工程中所需材料的总量供应。因</w:t>
      </w:r>
      <w:r>
        <w:rPr>
          <w:rFonts w:hint="eastAsia" w:ascii="宋体" w:hAnsi="宋体"/>
          <w:sz w:val="24"/>
          <w:highlight w:val="none"/>
          <w:lang w:val="en-US" w:eastAsia="zh-CN"/>
        </w:rPr>
        <w:t>本项目主体工程</w:t>
      </w:r>
      <w:r>
        <w:rPr>
          <w:rFonts w:hint="eastAsia" w:ascii="宋体" w:hAnsi="宋体"/>
          <w:sz w:val="24"/>
          <w:highlight w:val="none"/>
        </w:rPr>
        <w:t>工程量较大，工期要求紧，</w:t>
      </w:r>
      <w:r>
        <w:rPr>
          <w:rFonts w:hint="eastAsia" w:ascii="宋体" w:hAnsi="宋体"/>
          <w:sz w:val="24"/>
          <w:highlight w:val="none"/>
          <w:lang w:val="en-US" w:eastAsia="zh-CN"/>
        </w:rPr>
        <w:t>且</w:t>
      </w:r>
      <w:r>
        <w:rPr>
          <w:rFonts w:hint="eastAsia" w:ascii="宋体" w:hAnsi="宋体"/>
          <w:sz w:val="24"/>
          <w:highlight w:val="none"/>
        </w:rPr>
        <w:t>部分工程已进场待料，</w:t>
      </w:r>
      <w:r>
        <w:rPr>
          <w:rFonts w:hint="eastAsia" w:ascii="宋体" w:hAnsi="宋体"/>
          <w:sz w:val="24"/>
          <w:highlight w:val="none"/>
          <w:lang w:val="en-US" w:eastAsia="zh-CN"/>
        </w:rPr>
        <w:t>乙方</w:t>
      </w:r>
      <w:r>
        <w:rPr>
          <w:rFonts w:hint="eastAsia" w:ascii="宋体" w:hAnsi="宋体"/>
          <w:sz w:val="24"/>
          <w:highlight w:val="none"/>
        </w:rPr>
        <w:t>必须承诺能在接到</w:t>
      </w:r>
      <w:r>
        <w:rPr>
          <w:rFonts w:hint="eastAsia" w:ascii="宋体" w:hAnsi="宋体"/>
          <w:sz w:val="24"/>
          <w:highlight w:val="none"/>
          <w:lang w:val="en-US" w:eastAsia="zh-CN"/>
        </w:rPr>
        <w:t>甲</w:t>
      </w:r>
      <w:r>
        <w:rPr>
          <w:rFonts w:hint="eastAsia" w:ascii="宋体" w:hAnsi="宋体"/>
          <w:sz w:val="24"/>
          <w:highlight w:val="none"/>
        </w:rPr>
        <w:t>方的发货通知后</w:t>
      </w:r>
      <w:r>
        <w:rPr>
          <w:rFonts w:hint="eastAsia" w:ascii="宋体" w:hAnsi="宋体"/>
          <w:sz w:val="24"/>
          <w:highlight w:val="none"/>
          <w:lang w:val="en-US" w:eastAsia="zh-CN"/>
        </w:rPr>
        <w:t>40</w:t>
      </w:r>
      <w:r>
        <w:rPr>
          <w:rFonts w:hint="eastAsia" w:ascii="宋体" w:hAnsi="宋体"/>
          <w:sz w:val="24"/>
          <w:highlight w:val="none"/>
        </w:rPr>
        <w:t>天内</w:t>
      </w:r>
      <w:r>
        <w:rPr>
          <w:rFonts w:hint="eastAsia" w:ascii="宋体" w:hAnsi="宋体"/>
          <w:sz w:val="24"/>
          <w:highlight w:val="none"/>
          <w:lang w:val="en-US" w:eastAsia="zh-CN"/>
        </w:rPr>
        <w:t>完成供货</w:t>
      </w:r>
      <w:r>
        <w:rPr>
          <w:rFonts w:hint="eastAsia" w:ascii="宋体" w:hAnsi="宋体"/>
          <w:sz w:val="24"/>
          <w:highlight w:val="none"/>
        </w:rPr>
        <w:t>，如延误交货或中断供货将承担违约责任。</w:t>
      </w:r>
      <w:r>
        <w:rPr>
          <w:rFonts w:hint="eastAsia" w:ascii="宋体" w:hAnsi="宋体" w:cs="宋体"/>
          <w:color w:val="000000"/>
          <w:kern w:val="0"/>
          <w:sz w:val="24"/>
          <w:szCs w:val="24"/>
          <w:highlight w:val="none"/>
        </w:rPr>
        <w:t>到货时间以施工单位、监理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现场负责人共同签收时间为准。</w:t>
      </w:r>
    </w:p>
    <w:p w14:paraId="39D494DF">
      <w:pPr>
        <w:pStyle w:val="389"/>
        <w:keepNext w:val="0"/>
        <w:keepLines w:val="0"/>
        <w:pageBreakBefore w:val="0"/>
        <w:tabs>
          <w:tab w:val="left" w:pos="993"/>
        </w:tabs>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b/>
          <w:sz w:val="24"/>
          <w:highlight w:val="none"/>
        </w:rPr>
        <w:t>六、交货条件：</w:t>
      </w:r>
    </w:p>
    <w:p w14:paraId="716C2A8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1、交货地点：宜兴市内</w:t>
      </w:r>
      <w:r>
        <w:rPr>
          <w:rFonts w:hint="eastAsia" w:ascii="宋体" w:hAnsi="宋体"/>
          <w:sz w:val="24"/>
          <w:highlight w:val="none"/>
          <w:lang w:eastAsia="zh-CN"/>
        </w:rPr>
        <w:t>甲方</w:t>
      </w:r>
      <w:r>
        <w:rPr>
          <w:rFonts w:hint="eastAsia" w:ascii="宋体" w:hAnsi="宋体"/>
          <w:sz w:val="24"/>
          <w:highlight w:val="none"/>
        </w:rPr>
        <w:t>指定的地点</w:t>
      </w:r>
    </w:p>
    <w:p w14:paraId="11F5A852">
      <w:pPr>
        <w:pStyle w:val="389"/>
        <w:keepNext w:val="0"/>
        <w:keepLines w:val="0"/>
        <w:pageBreakBefore w:val="0"/>
        <w:tabs>
          <w:tab w:val="left" w:pos="993"/>
        </w:tabs>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2、设备的外观、包装、运输应按国家规定或部颁标准执行。如因</w:t>
      </w:r>
      <w:r>
        <w:rPr>
          <w:rFonts w:hint="eastAsia" w:ascii="宋体" w:hAnsi="宋体"/>
          <w:sz w:val="24"/>
          <w:highlight w:val="none"/>
          <w:lang w:eastAsia="zh-CN"/>
        </w:rPr>
        <w:t>乙方</w:t>
      </w:r>
      <w:r>
        <w:rPr>
          <w:rFonts w:hint="eastAsia" w:ascii="宋体" w:hAnsi="宋体"/>
          <w:sz w:val="24"/>
          <w:highlight w:val="none"/>
        </w:rPr>
        <w:t>运输不当等原因造成损坏或丢失，应由</w:t>
      </w:r>
      <w:r>
        <w:rPr>
          <w:rFonts w:hint="eastAsia" w:ascii="宋体" w:hAnsi="宋体"/>
          <w:sz w:val="24"/>
          <w:highlight w:val="none"/>
          <w:lang w:eastAsia="zh-CN"/>
        </w:rPr>
        <w:t>乙方</w:t>
      </w:r>
      <w:r>
        <w:rPr>
          <w:rFonts w:hint="eastAsia" w:ascii="宋体" w:hAnsi="宋体"/>
          <w:sz w:val="24"/>
          <w:highlight w:val="none"/>
        </w:rPr>
        <w:t>负责修复或补缺且由乙方承担费用。</w:t>
      </w:r>
    </w:p>
    <w:p w14:paraId="42857493">
      <w:pPr>
        <w:pStyle w:val="389"/>
        <w:spacing w:line="360" w:lineRule="auto"/>
        <w:ind w:firstLine="490"/>
        <w:rPr>
          <w:rFonts w:ascii="宋体"/>
          <w:sz w:val="24"/>
          <w:highlight w:val="none"/>
        </w:rPr>
      </w:pPr>
      <w:r>
        <w:rPr>
          <w:rFonts w:ascii="宋体" w:hAnsi="宋体"/>
          <w:sz w:val="24"/>
          <w:highlight w:val="none"/>
        </w:rPr>
        <w:t>3</w:t>
      </w:r>
      <w:r>
        <w:rPr>
          <w:rFonts w:hint="eastAsia" w:ascii="宋体" w:hAnsi="宋体"/>
          <w:sz w:val="24"/>
          <w:highlight w:val="none"/>
        </w:rPr>
        <w:t>、设备交货时，必须带有产品质量检验合格证书、质保单、装箱单、产品安装使用说明书，并保持出厂原有包装。</w:t>
      </w:r>
    </w:p>
    <w:p w14:paraId="2597155A">
      <w:pPr>
        <w:pStyle w:val="389"/>
        <w:spacing w:line="360" w:lineRule="auto"/>
        <w:ind w:firstLine="490"/>
        <w:rPr>
          <w:rFonts w:ascii="宋体"/>
          <w:sz w:val="24"/>
          <w:highlight w:val="none"/>
        </w:rPr>
      </w:pPr>
      <w:r>
        <w:rPr>
          <w:rFonts w:ascii="宋体" w:hAnsi="宋体"/>
          <w:sz w:val="24"/>
          <w:highlight w:val="none"/>
        </w:rPr>
        <w:t>4</w:t>
      </w:r>
      <w:r>
        <w:rPr>
          <w:rFonts w:hint="eastAsia" w:ascii="宋体" w:hAnsi="宋体"/>
          <w:sz w:val="24"/>
          <w:highlight w:val="none"/>
        </w:rPr>
        <w:t>、运输及到货地点：由乙方负责办理运输，并承担费用直接送到甲方指定地点。</w:t>
      </w:r>
    </w:p>
    <w:p w14:paraId="5BF0CD3C">
      <w:pPr>
        <w:pStyle w:val="389"/>
        <w:spacing w:line="360" w:lineRule="auto"/>
        <w:ind w:firstLine="490"/>
        <w:rPr>
          <w:rFonts w:hint="eastAsia" w:ascii="宋体" w:hAnsi="宋体"/>
          <w:sz w:val="24"/>
          <w:highlight w:val="none"/>
        </w:rPr>
      </w:pPr>
      <w:r>
        <w:rPr>
          <w:rFonts w:ascii="宋体" w:hAnsi="宋体"/>
          <w:sz w:val="24"/>
          <w:highlight w:val="none"/>
        </w:rPr>
        <w:t>5</w:t>
      </w:r>
      <w:r>
        <w:rPr>
          <w:rFonts w:hint="eastAsia" w:ascii="宋体" w:hAnsi="宋体"/>
          <w:sz w:val="24"/>
          <w:highlight w:val="none"/>
        </w:rPr>
        <w:t>、乙方发货应提前一天用传真和电话通知甲方。</w:t>
      </w:r>
    </w:p>
    <w:p w14:paraId="3EB22280">
      <w:pPr>
        <w:pStyle w:val="389"/>
        <w:keepNext w:val="0"/>
        <w:keepLines w:val="0"/>
        <w:pageBreakBefore w:val="0"/>
        <w:kinsoku/>
        <w:wordWrap/>
        <w:overflowPunct/>
        <w:topLinePunct w:val="0"/>
        <w:autoSpaceDE/>
        <w:autoSpaceDN/>
        <w:bidi w:val="0"/>
        <w:adjustRightInd/>
        <w:snapToGrid/>
        <w:spacing w:line="360" w:lineRule="auto"/>
        <w:ind w:firstLine="490"/>
        <w:textAlignment w:val="auto"/>
        <w:rPr>
          <w:b/>
          <w:sz w:val="24"/>
          <w:highlight w:val="none"/>
        </w:rPr>
      </w:pPr>
      <w:r>
        <w:rPr>
          <w:rFonts w:hint="eastAsia"/>
          <w:b/>
          <w:sz w:val="24"/>
          <w:highlight w:val="none"/>
        </w:rPr>
        <w:t>七、安装调试及售后服务：</w:t>
      </w:r>
    </w:p>
    <w:p w14:paraId="487458CD">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hint="eastAsia" w:ascii="宋体" w:hAnsi="宋体"/>
          <w:sz w:val="24"/>
          <w:szCs w:val="24"/>
          <w:highlight w:val="none"/>
          <w:lang w:eastAsia="zh-CN"/>
        </w:rPr>
      </w:pPr>
      <w:r>
        <w:rPr>
          <w:rFonts w:hint="eastAsia" w:ascii="宋体" w:hAnsi="宋体"/>
          <w:sz w:val="24"/>
          <w:szCs w:val="24"/>
          <w:highlight w:val="none"/>
        </w:rPr>
        <w:t>1、中标人交货后负责对使用者进行操作培训，培训内容包括</w:t>
      </w:r>
      <w:r>
        <w:rPr>
          <w:rFonts w:hint="eastAsia" w:ascii="宋体" w:hAnsi="宋体"/>
          <w:sz w:val="24"/>
          <w:szCs w:val="24"/>
          <w:highlight w:val="none"/>
          <w:lang w:val="en-US" w:eastAsia="zh-CN"/>
        </w:rPr>
        <w:t>设备</w:t>
      </w:r>
      <w:r>
        <w:rPr>
          <w:rFonts w:hint="eastAsia" w:ascii="宋体" w:hAnsi="宋体"/>
          <w:sz w:val="24"/>
          <w:szCs w:val="24"/>
          <w:highlight w:val="none"/>
        </w:rPr>
        <w:t>的工作原理、使用和维护，培训时间地点和培训次数根据用户的要求确定。</w:t>
      </w:r>
    </w:p>
    <w:p w14:paraId="79503EF8">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hint="eastAsia" w:ascii="宋体" w:hAnsi="宋体"/>
          <w:sz w:val="24"/>
          <w:szCs w:val="24"/>
          <w:highlight w:val="none"/>
        </w:rPr>
      </w:pPr>
      <w:r>
        <w:rPr>
          <w:rFonts w:hint="eastAsia" w:ascii="宋体" w:hAnsi="宋体"/>
          <w:sz w:val="24"/>
          <w:szCs w:val="24"/>
          <w:highlight w:val="none"/>
          <w:lang w:val="en-US" w:eastAsia="zh-CN"/>
        </w:rPr>
        <w:t>2、提供7x24小时的电话以及在线技术支持和服务；对于一般问题，1小时内作出实质性响应，8小时内解决问题；根据用户要求，对重大问题提供现场支持，24小时内到达指定现场并给出使用人可接受的解决方案。</w:t>
      </w:r>
    </w:p>
    <w:p w14:paraId="2BA9A9AE">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highlight w:val="none"/>
          <w:lang w:eastAsia="zh-CN"/>
        </w:rPr>
        <w:t>甲方</w:t>
      </w:r>
      <w:r>
        <w:rPr>
          <w:rFonts w:hint="eastAsia" w:ascii="宋体" w:hAnsi="宋体"/>
          <w:sz w:val="24"/>
          <w:szCs w:val="24"/>
          <w:highlight w:val="none"/>
        </w:rPr>
        <w:t>应向</w:t>
      </w:r>
      <w:r>
        <w:rPr>
          <w:rFonts w:hint="eastAsia" w:ascii="宋体" w:hAnsi="宋体"/>
          <w:sz w:val="24"/>
          <w:szCs w:val="24"/>
          <w:highlight w:val="none"/>
          <w:lang w:eastAsia="zh-CN"/>
        </w:rPr>
        <w:t>乙方</w:t>
      </w:r>
      <w:r>
        <w:rPr>
          <w:rFonts w:hint="eastAsia" w:ascii="宋体" w:hAnsi="宋体"/>
          <w:sz w:val="24"/>
          <w:szCs w:val="24"/>
          <w:highlight w:val="none"/>
        </w:rPr>
        <w:t>现场调试技术人员及维修人员提供方便条件，有关费用由</w:t>
      </w:r>
      <w:r>
        <w:rPr>
          <w:rFonts w:hint="eastAsia" w:ascii="宋体" w:hAnsi="宋体"/>
          <w:sz w:val="24"/>
          <w:szCs w:val="24"/>
          <w:highlight w:val="none"/>
          <w:lang w:eastAsia="zh-CN"/>
        </w:rPr>
        <w:t>乙方</w:t>
      </w:r>
      <w:r>
        <w:rPr>
          <w:rFonts w:hint="eastAsia" w:ascii="宋体" w:hAnsi="宋体"/>
          <w:sz w:val="24"/>
          <w:szCs w:val="24"/>
          <w:highlight w:val="none"/>
        </w:rPr>
        <w:t>负责。</w:t>
      </w:r>
    </w:p>
    <w:p w14:paraId="3CF28A15">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highlight w:val="none"/>
          <w:lang w:eastAsia="zh-CN"/>
        </w:rPr>
        <w:t>甲方</w:t>
      </w:r>
      <w:r>
        <w:rPr>
          <w:rFonts w:hint="eastAsia" w:ascii="宋体" w:hAnsi="宋体"/>
          <w:sz w:val="24"/>
          <w:szCs w:val="24"/>
          <w:highlight w:val="none"/>
        </w:rPr>
        <w:t>如邀请</w:t>
      </w:r>
      <w:r>
        <w:rPr>
          <w:rFonts w:hint="eastAsia" w:ascii="宋体" w:hAnsi="宋体"/>
          <w:sz w:val="24"/>
          <w:szCs w:val="24"/>
          <w:highlight w:val="none"/>
          <w:lang w:eastAsia="zh-CN"/>
        </w:rPr>
        <w:t>乙方</w:t>
      </w:r>
      <w:r>
        <w:rPr>
          <w:rFonts w:hint="eastAsia" w:ascii="宋体" w:hAnsi="宋体"/>
          <w:sz w:val="24"/>
          <w:szCs w:val="24"/>
          <w:highlight w:val="none"/>
        </w:rPr>
        <w:t>提供非质量问题的其它技术服务，其费用另定。</w:t>
      </w:r>
    </w:p>
    <w:p w14:paraId="2D007E5C">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highlight w:val="none"/>
          <w:lang w:eastAsia="zh-CN"/>
        </w:rPr>
        <w:t>乙方</w:t>
      </w:r>
      <w:r>
        <w:rPr>
          <w:rFonts w:hint="eastAsia" w:ascii="宋体" w:hAnsi="宋体"/>
          <w:sz w:val="24"/>
          <w:szCs w:val="24"/>
          <w:highlight w:val="none"/>
        </w:rPr>
        <w:t>对其供应的设备提供的质保按国家有关规定执行。</w:t>
      </w:r>
    </w:p>
    <w:p w14:paraId="0CD89C3D">
      <w:pPr>
        <w:pStyle w:val="389"/>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ascii="宋体" w:hAnsi="宋体" w:cs="宋体"/>
          <w:kern w:val="0"/>
          <w:sz w:val="24"/>
          <w:highlight w:val="none"/>
        </w:rPr>
        <w:t>、本次招标的设备应提供不低于</w:t>
      </w:r>
      <w:r>
        <w:rPr>
          <w:rFonts w:hint="eastAsia" w:ascii="宋体" w:hAnsi="宋体" w:cs="宋体"/>
          <w:b/>
          <w:bCs/>
          <w:kern w:val="0"/>
          <w:sz w:val="24"/>
          <w:highlight w:val="none"/>
          <w:u w:val="single"/>
          <w:lang w:val="en-US" w:eastAsia="zh-CN"/>
        </w:rPr>
        <w:t>1</w:t>
      </w:r>
      <w:r>
        <w:rPr>
          <w:rFonts w:ascii="宋体" w:hAnsi="宋体" w:cs="宋体"/>
          <w:b/>
          <w:bCs/>
          <w:kern w:val="0"/>
          <w:sz w:val="24"/>
          <w:highlight w:val="none"/>
          <w:u w:val="single"/>
        </w:rPr>
        <w:t>年</w:t>
      </w:r>
      <w:r>
        <w:rPr>
          <w:rFonts w:ascii="宋体" w:hAnsi="宋体" w:cs="宋体"/>
          <w:kern w:val="0"/>
          <w:sz w:val="24"/>
          <w:highlight w:val="none"/>
        </w:rPr>
        <w:t>的免费质保，</w:t>
      </w:r>
      <w:r>
        <w:rPr>
          <w:rFonts w:hint="eastAsia" w:ascii="宋体" w:hAnsi="宋体" w:cs="宋体"/>
          <w:kern w:val="0"/>
          <w:sz w:val="24"/>
          <w:highlight w:val="none"/>
        </w:rPr>
        <w:t>免费质保期限</w:t>
      </w:r>
      <w:r>
        <w:rPr>
          <w:rFonts w:ascii="宋体" w:hAnsi="宋体" w:eastAsia="宋体" w:cs="Times New Roman"/>
          <w:sz w:val="24"/>
          <w:highlight w:val="none"/>
        </w:rPr>
        <w:t>一律从设备安装调试验收合格之日起算</w:t>
      </w:r>
      <w:r>
        <w:rPr>
          <w:rFonts w:hint="eastAsia" w:ascii="宋体" w:hAnsi="宋体" w:cs="宋体"/>
          <w:kern w:val="0"/>
          <w:sz w:val="24"/>
          <w:highlight w:val="none"/>
        </w:rPr>
        <w:t>。</w:t>
      </w:r>
    </w:p>
    <w:p w14:paraId="1A276EC7">
      <w:pPr>
        <w:pStyle w:val="389"/>
        <w:keepNext w:val="0"/>
        <w:keepLines w:val="0"/>
        <w:pageBreakBefore w:val="0"/>
        <w:widowControl/>
        <w:kinsoku/>
        <w:wordWrap/>
        <w:overflowPunct/>
        <w:topLinePunct w:val="0"/>
        <w:autoSpaceDE/>
        <w:autoSpaceDN/>
        <w:bidi w:val="0"/>
        <w:adjustRightInd/>
        <w:snapToGrid/>
        <w:spacing w:line="360" w:lineRule="auto"/>
        <w:ind w:left="0" w:leftChars="0" w:firstLine="420" w:firstLineChars="0"/>
        <w:jc w:val="left"/>
        <w:textAlignment w:val="auto"/>
        <w:rPr>
          <w:rFonts w:ascii="宋体" w:hAnsi="宋体" w:cs="宋体"/>
          <w:kern w:val="0"/>
          <w:sz w:val="24"/>
        </w:rPr>
      </w:pPr>
      <w:r>
        <w:rPr>
          <w:rFonts w:ascii="宋体" w:hAnsi="宋体" w:cs="宋体"/>
          <w:kern w:val="0"/>
          <w:sz w:val="24"/>
          <w:highlight w:val="none"/>
        </w:rPr>
        <w:t>①在免费质保期内，提供免除一</w:t>
      </w:r>
      <w:r>
        <w:rPr>
          <w:rFonts w:ascii="宋体" w:hAnsi="宋体" w:cs="宋体"/>
          <w:kern w:val="0"/>
          <w:sz w:val="24"/>
        </w:rPr>
        <w:t>切费用的售后服务。</w:t>
      </w:r>
      <w:r>
        <w:rPr>
          <w:rFonts w:ascii="宋体" w:hAnsi="宋体" w:cs="宋体"/>
          <w:kern w:val="0"/>
          <w:sz w:val="24"/>
        </w:rPr>
        <w:br w:type="textWrapping"/>
      </w:r>
      <w:r>
        <w:rPr>
          <w:rFonts w:hint="eastAsia" w:ascii="宋体" w:hAnsi="宋体" w:cs="宋体"/>
          <w:kern w:val="0"/>
          <w:sz w:val="24"/>
          <w:lang w:val="en-US" w:eastAsia="zh-CN"/>
        </w:rPr>
        <w:tab/>
      </w:r>
      <w:r>
        <w:rPr>
          <w:rFonts w:ascii="宋体" w:hAnsi="宋体" w:cs="宋体"/>
          <w:kern w:val="0"/>
          <w:sz w:val="24"/>
        </w:rPr>
        <w:t>②对于在免费质保期内出现故障确需更换的零配件，</w:t>
      </w:r>
      <w:r>
        <w:rPr>
          <w:rFonts w:hint="eastAsia" w:ascii="宋体" w:hAnsi="宋体" w:cs="宋体"/>
          <w:kern w:val="0"/>
          <w:sz w:val="24"/>
          <w:lang w:eastAsia="zh-CN"/>
        </w:rPr>
        <w:t>乙方</w:t>
      </w:r>
      <w:r>
        <w:rPr>
          <w:rFonts w:hint="eastAsia" w:ascii="宋体" w:hAnsi="宋体" w:cs="宋体"/>
          <w:kern w:val="0"/>
          <w:sz w:val="24"/>
        </w:rPr>
        <w:t>必须</w:t>
      </w:r>
      <w:r>
        <w:rPr>
          <w:rFonts w:ascii="宋体" w:hAnsi="宋体" w:cs="宋体"/>
          <w:kern w:val="0"/>
          <w:sz w:val="24"/>
        </w:rPr>
        <w:t>确保</w:t>
      </w:r>
      <w:r>
        <w:rPr>
          <w:rFonts w:hint="eastAsia" w:ascii="宋体" w:hAnsi="宋体" w:cs="宋体"/>
          <w:kern w:val="0"/>
          <w:sz w:val="24"/>
          <w:lang w:val="en-US" w:eastAsia="zh-CN"/>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24DDFA43">
      <w:pPr>
        <w:pStyle w:val="389"/>
        <w:keepNext w:val="0"/>
        <w:keepLines w:val="0"/>
        <w:pageBreakBefore w:val="0"/>
        <w:kinsoku/>
        <w:wordWrap/>
        <w:overflowPunct/>
        <w:topLinePunct w:val="0"/>
        <w:autoSpaceDE/>
        <w:autoSpaceDN/>
        <w:bidi w:val="0"/>
        <w:adjustRightInd/>
        <w:snapToGrid/>
        <w:spacing w:line="360" w:lineRule="auto"/>
        <w:ind w:firstLine="464" w:firstLineChars="200"/>
        <w:textAlignment w:val="auto"/>
        <w:rPr>
          <w:sz w:val="24"/>
        </w:rPr>
      </w:pPr>
      <w:r>
        <w:rPr>
          <w:rFonts w:hint="eastAsia"/>
          <w:spacing w:val="-4"/>
          <w:sz w:val="24"/>
          <w:lang w:val="en-US" w:eastAsia="zh-CN"/>
        </w:rPr>
        <w:t>7、</w:t>
      </w:r>
      <w:r>
        <w:rPr>
          <w:spacing w:val="-4"/>
          <w:sz w:val="24"/>
        </w:rPr>
        <w:t>在保证期内因设备本身及安装的质量问题发生故障，乙方应负责免费修理和更换零部件。对达不到使用要求者，经双方协商，可按以下办法处</w:t>
      </w:r>
      <w:r>
        <w:rPr>
          <w:sz w:val="24"/>
        </w:rPr>
        <w:t>理：</w:t>
      </w:r>
    </w:p>
    <w:p w14:paraId="49B11614">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val="en-US" w:eastAsia="zh-CN"/>
        </w:rPr>
        <w:t>①</w:t>
      </w:r>
      <w:r>
        <w:rPr>
          <w:sz w:val="24"/>
        </w:rPr>
        <w:t>退货处理</w:t>
      </w:r>
    </w:p>
    <w:p w14:paraId="42583762">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val="en-US" w:eastAsia="zh-CN"/>
        </w:rPr>
        <w:t>②</w:t>
      </w:r>
      <w:r>
        <w:rPr>
          <w:sz w:val="24"/>
        </w:rPr>
        <w:t>更换设备，由乙方承担</w:t>
      </w:r>
      <w:r>
        <w:rPr>
          <w:rFonts w:hint="eastAsia"/>
          <w:sz w:val="24"/>
        </w:rPr>
        <w:t>由此</w:t>
      </w:r>
      <w:r>
        <w:rPr>
          <w:sz w:val="24"/>
        </w:rPr>
        <w:t>所发生的</w:t>
      </w:r>
      <w:r>
        <w:rPr>
          <w:rFonts w:hint="eastAsia"/>
          <w:sz w:val="24"/>
        </w:rPr>
        <w:t>所有</w:t>
      </w:r>
      <w:r>
        <w:rPr>
          <w:sz w:val="24"/>
        </w:rPr>
        <w:t>费用。</w:t>
      </w:r>
    </w:p>
    <w:p w14:paraId="12F9B4C0">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sz w:val="24"/>
          <w:lang w:val="en-US" w:eastAsia="zh-CN"/>
        </w:rPr>
        <w:t>③</w:t>
      </w:r>
      <w:r>
        <w:rPr>
          <w:sz w:val="24"/>
        </w:rPr>
        <w:t>贬值处理</w:t>
      </w:r>
    </w:p>
    <w:p w14:paraId="3F94C0C8">
      <w:pPr>
        <w:spacing w:line="360" w:lineRule="auto"/>
        <w:ind w:firstLine="482" w:firstLineChars="200"/>
        <w:rPr>
          <w:rFonts w:hint="eastAsia" w:ascii="宋体" w:hAnsi="宋体"/>
          <w:b/>
          <w:bCs w:val="0"/>
          <w:sz w:val="24"/>
          <w:szCs w:val="24"/>
        </w:rPr>
      </w:pPr>
      <w:r>
        <w:rPr>
          <w:rFonts w:hint="eastAsia" w:ascii="宋体" w:hAnsi="宋体"/>
          <w:b/>
          <w:bCs w:val="0"/>
          <w:sz w:val="24"/>
          <w:szCs w:val="24"/>
          <w:lang w:val="en-US" w:eastAsia="zh-CN"/>
        </w:rPr>
        <w:t>八</w:t>
      </w:r>
      <w:r>
        <w:rPr>
          <w:rFonts w:hint="eastAsia" w:ascii="宋体" w:hAnsi="宋体"/>
          <w:b/>
          <w:bCs w:val="0"/>
          <w:sz w:val="24"/>
          <w:szCs w:val="24"/>
        </w:rPr>
        <w:t>、违约责任：</w:t>
      </w:r>
    </w:p>
    <w:p w14:paraId="700D4EEC">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如乙方逾期交货，除不可抗力外，乙方向甲方就逾期交货部分支付违约金，具体支付比例如下：</w:t>
      </w:r>
    </w:p>
    <w:p w14:paraId="30A39505">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迟交1～3天，每天违约金金额为逾期交货部分总价款的千分之三；</w:t>
      </w:r>
    </w:p>
    <w:p w14:paraId="08045107">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迟交4～7天，每天违约金金额为逾期交货部分总价款的千分之五；</w:t>
      </w:r>
    </w:p>
    <w:p w14:paraId="1BA45446">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迟交8～15天，每天违约金金额为逾期交货部分总价款的千分之八，如因此严重延误施工工期的，则视为乙方不履行合同。 </w:t>
      </w:r>
      <w:r>
        <w:rPr>
          <w:rFonts w:hint="eastAsia" w:ascii="??" w:hAnsi="??" w:eastAsia="宋体" w:cs="宋体"/>
          <w:color w:val="0000FF"/>
          <w:kern w:val="0"/>
          <w:sz w:val="24"/>
          <w:szCs w:val="22"/>
          <w:u w:val="single"/>
          <w:lang w:val="en-US" w:eastAsia="zh-CN" w:bidi="ar-SA"/>
        </w:rPr>
        <w:br w:type="textWrapping"/>
      </w:r>
      <w:r>
        <w:rPr>
          <w:rFonts w:hint="eastAsia" w:ascii="??" w:hAnsi="??" w:eastAsia="宋体" w:cs="宋体"/>
          <w:color w:val="0000FF"/>
          <w:kern w:val="0"/>
          <w:sz w:val="24"/>
          <w:szCs w:val="22"/>
          <w:u w:val="single"/>
          <w:lang w:val="en-US" w:eastAsia="zh-CN" w:bidi="ar-SA"/>
        </w:rPr>
        <w:tab/>
      </w:r>
      <w:r>
        <w:rPr>
          <w:rFonts w:hint="eastAsia" w:ascii="??" w:hAnsi="??" w:eastAsia="宋体" w:cs="宋体"/>
          <w:color w:val="0000FF"/>
          <w:kern w:val="0"/>
          <w:sz w:val="24"/>
          <w:szCs w:val="22"/>
          <w:u w:val="single"/>
          <w:lang w:val="en-US" w:eastAsia="zh-CN" w:bidi="ar-SA"/>
        </w:rPr>
        <w:t>乙方逾期交货超过15天以上的视为乙方不履行合同。甲方将解除合同，扣除违约金及履约保证金，违约金金额为每天逾期交货部分总价款的千分之八，天数从下单日起到甲方完成下一次招标流程止。</w:t>
      </w:r>
    </w:p>
    <w:p w14:paraId="5FA89A3B">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如乙方不按照甲方要求将合同货物送达甲方指定地点的，每次支付违约金为逾期交货部分总价款的千分之八，情节严重的按违约处理，甲方将终止合同，同时对乙方处以扣除履约保证金的违约处罚。</w:t>
      </w:r>
    </w:p>
    <w:p w14:paraId="49F3C3DC">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ascii="宋体" w:hAnsi="宋体"/>
          <w:b/>
          <w:bCs/>
          <w:sz w:val="24"/>
        </w:rPr>
      </w:pPr>
      <w:r>
        <w:rPr>
          <w:rFonts w:hint="eastAsia" w:ascii="宋体" w:hAnsi="宋体"/>
          <w:b/>
          <w:bCs/>
          <w:sz w:val="24"/>
        </w:rPr>
        <w:t>九、合同生效及其它：</w:t>
      </w:r>
    </w:p>
    <w:p w14:paraId="56E3EC09">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有权随时解除合同，并扣除相应的违约金（指迟交货）及履约保证金。如果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14:paraId="18B8A62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2、合同经</w:t>
      </w:r>
      <w:r>
        <w:rPr>
          <w:rFonts w:hint="eastAsia" w:ascii="宋体" w:hAnsi="宋体"/>
          <w:sz w:val="24"/>
          <w:lang w:val="en-US" w:eastAsia="zh-CN"/>
        </w:rPr>
        <w:t>甲乙</w:t>
      </w:r>
      <w:r>
        <w:rPr>
          <w:rFonts w:hint="eastAsia" w:ascii="宋体" w:hAnsi="宋体"/>
          <w:sz w:val="24"/>
        </w:rPr>
        <w:t>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sz w:val="24"/>
        </w:rPr>
        <w:t>。</w:t>
      </w:r>
    </w:p>
    <w:p w14:paraId="5070BC9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3、合同签订后</w:t>
      </w:r>
      <w:r>
        <w:rPr>
          <w:rFonts w:hint="eastAsia" w:ascii="宋体" w:hAnsi="宋体"/>
          <w:sz w:val="24"/>
          <w:lang w:val="en-US" w:eastAsia="zh-CN"/>
        </w:rPr>
        <w:t>甲乙</w:t>
      </w:r>
      <w:r>
        <w:rPr>
          <w:rFonts w:hint="eastAsia" w:ascii="宋体" w:hAnsi="宋体"/>
          <w:sz w:val="24"/>
        </w:rPr>
        <w:t>双方即直接产生权利与义务的关系，合同执行过程中出现的问题应按照《民法典》的规定办理，在合同履行过程中，双方如有争议，先由</w:t>
      </w:r>
      <w:r>
        <w:rPr>
          <w:rFonts w:hint="eastAsia" w:ascii="宋体" w:hAnsi="宋体"/>
          <w:sz w:val="24"/>
          <w:lang w:eastAsia="zh-CN"/>
        </w:rPr>
        <w:t>甲方</w:t>
      </w:r>
      <w:r>
        <w:rPr>
          <w:rFonts w:hint="eastAsia" w:ascii="宋体" w:hAnsi="宋体"/>
          <w:sz w:val="24"/>
        </w:rPr>
        <w:t>协调解决，如协调解决不成，则可向</w:t>
      </w:r>
      <w:r>
        <w:rPr>
          <w:rFonts w:hint="eastAsia" w:ascii="宋体" w:hAnsi="宋体"/>
          <w:sz w:val="24"/>
          <w:lang w:eastAsia="zh-CN"/>
        </w:rPr>
        <w:t>甲方</w:t>
      </w:r>
      <w:r>
        <w:rPr>
          <w:rFonts w:hint="eastAsia" w:ascii="宋体" w:hAnsi="宋体"/>
          <w:sz w:val="24"/>
        </w:rPr>
        <w:t>所在地（宜兴）法院起诉。</w:t>
      </w:r>
    </w:p>
    <w:p w14:paraId="4D1EC63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14:paraId="3FFE90A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rPr>
        <w:t>5、</w:t>
      </w:r>
      <w:r>
        <w:rPr>
          <w:rFonts w:hint="eastAsia" w:ascii="宋体" w:hAnsi="宋体"/>
          <w:sz w:val="24"/>
          <w:lang w:val="en-US" w:eastAsia="zh-CN"/>
        </w:rPr>
        <w:t>乙方</w:t>
      </w:r>
      <w:r>
        <w:rPr>
          <w:rFonts w:hint="eastAsia" w:ascii="宋体" w:hAnsi="宋体"/>
          <w:sz w:val="24"/>
        </w:rPr>
        <w:t>投标前</w:t>
      </w:r>
      <w:r>
        <w:rPr>
          <w:rFonts w:hint="eastAsia" w:ascii="宋体" w:hAnsi="宋体"/>
          <w:sz w:val="24"/>
          <w:highlight w:val="none"/>
        </w:rPr>
        <w:t>应自行勘查安装和使用现场，充分考虑完成本项目的一切费用，在结算时以投标报价为准，不作调整。</w:t>
      </w:r>
    </w:p>
    <w:p w14:paraId="71050782">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6、供货期内如遇产品平滑（自然）升级，</w:t>
      </w:r>
      <w:r>
        <w:rPr>
          <w:rFonts w:hint="eastAsia" w:ascii="宋体" w:hAnsi="宋体"/>
          <w:sz w:val="24"/>
          <w:highlight w:val="none"/>
          <w:lang w:val="en-US" w:eastAsia="zh-CN"/>
        </w:rPr>
        <w:t>乙方</w:t>
      </w:r>
      <w:r>
        <w:rPr>
          <w:rFonts w:hint="eastAsia" w:ascii="宋体" w:hAnsi="宋体"/>
          <w:sz w:val="24"/>
          <w:highlight w:val="none"/>
        </w:rPr>
        <w:t>应提供平滑升级商品不补差价（招标文件中有特殊要求的除外）</w:t>
      </w:r>
    </w:p>
    <w:p w14:paraId="14A95623">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cs="宋体"/>
          <w:kern w:val="0"/>
          <w:sz w:val="24"/>
          <w:highlight w:val="none"/>
        </w:rPr>
      </w:pPr>
      <w:r>
        <w:rPr>
          <w:rFonts w:hint="eastAsia" w:ascii="宋体" w:hAnsi="宋体"/>
          <w:sz w:val="24"/>
          <w:highlight w:val="none"/>
        </w:rPr>
        <w:t>7、</w:t>
      </w:r>
      <w:r>
        <w:rPr>
          <w:rFonts w:ascii="宋体" w:hAnsi="宋体" w:cs="宋体"/>
          <w:kern w:val="0"/>
          <w:sz w:val="24"/>
          <w:highlight w:val="none"/>
        </w:rPr>
        <w:t>“</w:t>
      </w:r>
      <w:r>
        <w:rPr>
          <w:rFonts w:ascii="宋体" w:hAnsi="宋体" w:eastAsia="宋体" w:cs="宋体"/>
          <w:sz w:val="24"/>
          <w:szCs w:val="24"/>
        </w:rPr>
        <w:t>标后履约管理行为参照《宜招管发〔2017〕7 号》文件</w:t>
      </w:r>
      <w:r>
        <w:rPr>
          <w:rFonts w:ascii="宋体" w:hAnsi="宋体" w:cs="宋体"/>
          <w:kern w:val="0"/>
          <w:sz w:val="24"/>
          <w:highlight w:val="none"/>
        </w:rPr>
        <w:t>”。</w:t>
      </w:r>
    </w:p>
    <w:p w14:paraId="7BCB907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highlight w:val="none"/>
        </w:rPr>
        <w:t>8、</w:t>
      </w:r>
      <w:r>
        <w:rPr>
          <w:rFonts w:hint="eastAsia" w:ascii="宋体" w:hAnsi="宋体"/>
          <w:sz w:val="24"/>
          <w:highlight w:val="none"/>
        </w:rPr>
        <w:t>合同签订时或实际使用时数量可能会有较大变动，</w:t>
      </w:r>
      <w:r>
        <w:rPr>
          <w:rFonts w:hint="eastAsia" w:ascii="宋体" w:hAnsi="宋体"/>
          <w:color w:val="000000"/>
          <w:sz w:val="24"/>
          <w:highlight w:val="none"/>
          <w:lang w:eastAsia="zh-CN"/>
        </w:rPr>
        <w:t>乙方</w:t>
      </w:r>
      <w:r>
        <w:rPr>
          <w:rFonts w:hint="eastAsia" w:ascii="宋体" w:hAnsi="宋体"/>
          <w:color w:val="000000"/>
          <w:sz w:val="24"/>
          <w:highlight w:val="none"/>
        </w:rPr>
        <w:t>接到</w:t>
      </w:r>
      <w:r>
        <w:rPr>
          <w:rFonts w:hint="eastAsia" w:ascii="宋体" w:hAnsi="宋体"/>
          <w:color w:val="000000"/>
          <w:sz w:val="24"/>
          <w:highlight w:val="none"/>
          <w:lang w:eastAsia="zh-CN"/>
        </w:rPr>
        <w:t>甲方</w:t>
      </w:r>
      <w:r>
        <w:rPr>
          <w:rFonts w:hint="eastAsia" w:ascii="宋体" w:hAnsi="宋体"/>
          <w:color w:val="000000"/>
          <w:sz w:val="24"/>
          <w:highlight w:val="none"/>
        </w:rPr>
        <w:t>发货传真后才能生产对应的设备，</w:t>
      </w:r>
      <w:r>
        <w:rPr>
          <w:rFonts w:hint="eastAsia" w:ascii="宋体" w:hAnsi="宋体"/>
          <w:sz w:val="24"/>
          <w:highlight w:val="none"/>
        </w:rPr>
        <w:t>最终结算以实际使用数量结算，若由于</w:t>
      </w:r>
      <w:r>
        <w:rPr>
          <w:rFonts w:hint="eastAsia" w:ascii="宋体" w:hAnsi="宋体"/>
          <w:sz w:val="24"/>
          <w:highlight w:val="none"/>
          <w:lang w:val="en-US" w:eastAsia="zh-CN"/>
        </w:rPr>
        <w:t>甲方</w:t>
      </w:r>
      <w:r>
        <w:rPr>
          <w:rFonts w:hint="eastAsia" w:ascii="宋体" w:hAnsi="宋体"/>
          <w:sz w:val="24"/>
          <w:highlight w:val="none"/>
        </w:rPr>
        <w:t>原</w:t>
      </w:r>
      <w:r>
        <w:rPr>
          <w:rFonts w:hint="eastAsia" w:ascii="宋体" w:hAnsi="宋体"/>
          <w:sz w:val="24"/>
        </w:rPr>
        <w:t>因导致使用数量不足而终止合同的，不作为违约处理。</w:t>
      </w:r>
      <w:r>
        <w:rPr>
          <w:rFonts w:hint="eastAsia" w:ascii="宋体" w:hAnsi="宋体"/>
          <w:sz w:val="24"/>
          <w:lang w:val="en-US" w:eastAsia="zh-CN"/>
        </w:rPr>
        <w:t>乙方</w:t>
      </w:r>
      <w:r>
        <w:rPr>
          <w:rFonts w:hint="eastAsia" w:ascii="宋体" w:hAnsi="宋体"/>
          <w:sz w:val="24"/>
        </w:rPr>
        <w:t>必须充分考虑市场原料价格变动和实际使用数量的风险，在合同供货期内，最终结算以单价为准。</w:t>
      </w:r>
    </w:p>
    <w:p w14:paraId="711ABD8F">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rPr>
        <w:t>9、</w:t>
      </w:r>
      <w:r>
        <w:rPr>
          <w:rFonts w:hint="eastAsia" w:ascii="宋体" w:hAnsi="宋体"/>
          <w:sz w:val="24"/>
        </w:rPr>
        <w:t>其它未尽事宜，合同双方签定附属协议。</w:t>
      </w:r>
    </w:p>
    <w:p w14:paraId="5C1D55F9"/>
    <w:p w14:paraId="52EFFBB8"/>
    <w:p w14:paraId="1734BF0B"/>
    <w:p w14:paraId="217FC7B4"/>
    <w:p w14:paraId="6EAD1470">
      <w:pPr>
        <w:spacing w:line="360" w:lineRule="auto"/>
        <w:jc w:val="both"/>
        <w:outlineLvl w:val="0"/>
        <w:rPr>
          <w:rFonts w:hint="eastAsia" w:ascii="黑体" w:hAnsi="黑体" w:eastAsia="黑体"/>
          <w:sz w:val="28"/>
        </w:rPr>
      </w:pPr>
      <w:bookmarkStart w:id="82" w:name="OLE_LINK24"/>
      <w:bookmarkStart w:id="83" w:name="_Toc24602"/>
      <w:bookmarkStart w:id="84" w:name="OLE_LINK105"/>
    </w:p>
    <w:p w14:paraId="685CBA95">
      <w:pPr>
        <w:spacing w:line="360" w:lineRule="auto"/>
        <w:jc w:val="both"/>
        <w:outlineLvl w:val="0"/>
        <w:rPr>
          <w:rFonts w:hint="eastAsia" w:ascii="黑体" w:hAnsi="黑体" w:eastAsia="黑体"/>
          <w:sz w:val="28"/>
        </w:rPr>
      </w:pPr>
    </w:p>
    <w:p w14:paraId="7C06542C">
      <w:pPr>
        <w:jc w:val="center"/>
        <w:rPr>
          <w:rFonts w:hint="eastAsia" w:ascii="黑体" w:hAnsi="黑体" w:eastAsia="黑体"/>
          <w:sz w:val="28"/>
        </w:rPr>
      </w:pPr>
      <w:r>
        <w:rPr>
          <w:rFonts w:hint="eastAsia" w:ascii="黑体" w:hAnsi="黑体" w:eastAsia="黑体"/>
          <w:sz w:val="28"/>
        </w:rPr>
        <w:br w:type="page"/>
      </w:r>
      <w:r>
        <w:rPr>
          <w:rFonts w:hint="eastAsia" w:ascii="黑体" w:hAnsi="黑体" w:eastAsia="黑体"/>
          <w:sz w:val="28"/>
        </w:rPr>
        <w:t>第五章 投标文件（格式）</w:t>
      </w:r>
    </w:p>
    <w:p w14:paraId="105F294A">
      <w:pPr>
        <w:rPr>
          <w:rFonts w:hint="eastAsia"/>
        </w:rPr>
      </w:pPr>
    </w:p>
    <w:p w14:paraId="66A06A6E">
      <w:pPr>
        <w:rPr>
          <w:rFonts w:hint="eastAsia"/>
        </w:rPr>
      </w:pPr>
    </w:p>
    <w:p w14:paraId="4E79CC61">
      <w:pPr>
        <w:jc w:val="center"/>
        <w:rPr>
          <w:rFonts w:hint="eastAsia" w:ascii="宋体" w:hAnsi="宋体"/>
          <w:b/>
          <w:sz w:val="120"/>
          <w:szCs w:val="120"/>
        </w:rPr>
      </w:pPr>
    </w:p>
    <w:p w14:paraId="4C268A37">
      <w:pPr>
        <w:jc w:val="center"/>
        <w:rPr>
          <w:rFonts w:hint="eastAsia" w:ascii="宋体" w:hAnsi="宋体"/>
          <w:b/>
          <w:sz w:val="120"/>
          <w:szCs w:val="120"/>
        </w:rPr>
      </w:pPr>
      <w:r>
        <w:rPr>
          <w:rFonts w:hint="eastAsia" w:ascii="宋体" w:hAnsi="宋体"/>
          <w:b/>
          <w:sz w:val="120"/>
          <w:szCs w:val="120"/>
        </w:rPr>
        <w:t>投标文件</w:t>
      </w:r>
    </w:p>
    <w:p w14:paraId="68FD3CEA">
      <w:pPr>
        <w:jc w:val="center"/>
        <w:rPr>
          <w:rFonts w:hint="eastAsia" w:ascii="宋体" w:hAnsi="宋体"/>
          <w:b/>
          <w:sz w:val="120"/>
          <w:szCs w:val="120"/>
        </w:rPr>
      </w:pPr>
    </w:p>
    <w:p w14:paraId="52CE0291">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cs="宋体"/>
          <w:b/>
          <w:bCs w:val="0"/>
          <w:sz w:val="32"/>
          <w:szCs w:val="32"/>
          <w:lang w:eastAsia="zh-CN"/>
        </w:rPr>
        <w:t>YXGYJT202601028（EPC）（代）</w:t>
      </w:r>
    </w:p>
    <w:p w14:paraId="3D11E840">
      <w:pPr>
        <w:jc w:val="center"/>
        <w:rPr>
          <w:rFonts w:hint="eastAsia" w:ascii="宋体" w:hAnsi="宋体"/>
          <w:b/>
          <w:sz w:val="32"/>
          <w:szCs w:val="32"/>
        </w:rPr>
      </w:pPr>
    </w:p>
    <w:p w14:paraId="28AC28E7">
      <w:pPr>
        <w:rPr>
          <w:rFonts w:hint="eastAsia" w:ascii="宋体" w:hAnsi="宋体"/>
          <w:b/>
          <w:sz w:val="32"/>
          <w:szCs w:val="32"/>
        </w:rPr>
      </w:pPr>
    </w:p>
    <w:p w14:paraId="39D9E8CE">
      <w:pPr>
        <w:rPr>
          <w:rFonts w:hint="eastAsia" w:ascii="宋体" w:hAnsi="宋体"/>
          <w:b/>
          <w:sz w:val="32"/>
          <w:szCs w:val="32"/>
        </w:rPr>
      </w:pPr>
    </w:p>
    <w:p w14:paraId="4521AAD8">
      <w:pPr>
        <w:rPr>
          <w:rFonts w:hint="eastAsia"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val="en-US" w:eastAsia="zh-CN"/>
        </w:rPr>
        <w:t>材料分公司加药系统采购</w:t>
      </w:r>
      <w:r>
        <w:rPr>
          <w:rFonts w:hint="eastAsia" w:ascii="宋体" w:hAnsi="宋体"/>
          <w:b/>
          <w:sz w:val="32"/>
          <w:szCs w:val="32"/>
          <w:u w:val="single"/>
        </w:rPr>
        <w:t xml:space="preserve"> </w:t>
      </w:r>
    </w:p>
    <w:p w14:paraId="6000A2D9">
      <w:pPr>
        <w:rPr>
          <w:rFonts w:hint="eastAsia"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277730A6">
      <w:pPr>
        <w:rPr>
          <w:rFonts w:hint="eastAsia"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（签名）</w:t>
      </w:r>
    </w:p>
    <w:p w14:paraId="7E06B13C">
      <w:pPr>
        <w:rPr>
          <w:rFonts w:hint="eastAsia" w:ascii="楷体_GB2312" w:eastAsia="楷体_GB2312"/>
          <w:b/>
          <w:sz w:val="32"/>
          <w:szCs w:val="32"/>
        </w:rPr>
      </w:pPr>
    </w:p>
    <w:p w14:paraId="7DF8E0D9">
      <w:pPr>
        <w:rPr>
          <w:rFonts w:hint="eastAsia" w:ascii="楷体_GB2312" w:eastAsia="楷体_GB2312"/>
          <w:b/>
          <w:sz w:val="32"/>
          <w:szCs w:val="32"/>
        </w:rPr>
      </w:pPr>
    </w:p>
    <w:p w14:paraId="16516B31">
      <w:pPr>
        <w:jc w:val="center"/>
        <w:rPr>
          <w:rFonts w:hint="eastAsia"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p>
    <w:p w14:paraId="499976C9">
      <w:pPr>
        <w:jc w:val="center"/>
        <w:rPr>
          <w:rFonts w:hint="eastAsia" w:ascii="宋体" w:hAnsi="宋体"/>
          <w:b/>
          <w:sz w:val="32"/>
          <w:szCs w:val="32"/>
          <w:u w:val="single"/>
        </w:rPr>
      </w:pPr>
    </w:p>
    <w:p w14:paraId="4544469C">
      <w:pPr>
        <w:rPr>
          <w:rFonts w:hint="eastAsia" w:ascii="黑体" w:hAnsi="宋体" w:eastAsia="黑体"/>
          <w:bCs/>
          <w:sz w:val="28"/>
          <w:szCs w:val="28"/>
        </w:rPr>
      </w:pPr>
      <w:r>
        <w:rPr>
          <w:rFonts w:hint="eastAsia" w:ascii="黑体" w:hAnsi="宋体" w:eastAsia="黑体"/>
          <w:bCs/>
          <w:sz w:val="28"/>
          <w:szCs w:val="28"/>
        </w:rPr>
        <w:br w:type="page"/>
      </w:r>
    </w:p>
    <w:p w14:paraId="6B882872">
      <w:pPr>
        <w:rPr>
          <w:rFonts w:hint="eastAsia" w:ascii="黑体" w:hAnsi="宋体" w:eastAsia="黑体"/>
          <w:bCs/>
          <w:sz w:val="28"/>
          <w:szCs w:val="28"/>
        </w:rPr>
      </w:pPr>
      <w:r>
        <w:rPr>
          <w:rFonts w:hint="eastAsia" w:ascii="黑体" w:hAnsi="宋体" w:eastAsia="黑体"/>
          <w:bCs/>
          <w:sz w:val="28"/>
          <w:szCs w:val="28"/>
        </w:rPr>
        <w:t>（一）投标函（格式）：</w:t>
      </w:r>
    </w:p>
    <w:bookmarkEnd w:id="82"/>
    <w:p w14:paraId="2A005532">
      <w:pPr>
        <w:spacing w:beforeLines="50" w:afterLines="50"/>
        <w:jc w:val="center"/>
        <w:rPr>
          <w:rFonts w:ascii="黑体" w:eastAsia="黑体"/>
          <w:bCs/>
          <w:sz w:val="28"/>
          <w:szCs w:val="28"/>
        </w:rPr>
      </w:pPr>
      <w:r>
        <w:rPr>
          <w:rFonts w:hint="eastAsia" w:ascii="黑体" w:eastAsia="黑体"/>
          <w:bCs/>
          <w:sz w:val="28"/>
          <w:szCs w:val="28"/>
        </w:rPr>
        <w:t>投标函</w:t>
      </w:r>
    </w:p>
    <w:p w14:paraId="46ED0FDD">
      <w:pPr>
        <w:spacing w:line="440" w:lineRule="exact"/>
        <w:rPr>
          <w:rFonts w:hint="eastAsia" w:ascii="宋体" w:hAnsi="宋体"/>
          <w:bCs/>
          <w:sz w:val="24"/>
          <w:lang w:val="zh-CN"/>
        </w:rPr>
      </w:pPr>
      <w:bookmarkStart w:id="85" w:name="OLE_LINK185"/>
      <w:r>
        <w:rPr>
          <w:rFonts w:hint="eastAsia" w:ascii="宋体" w:hAnsi="宋体"/>
          <w:bCs/>
          <w:sz w:val="24"/>
          <w:lang w:val="zh-CN"/>
        </w:rPr>
        <w:t xml:space="preserve">  </w:t>
      </w:r>
      <w:bookmarkEnd w:id="85"/>
      <w:bookmarkStart w:id="86" w:name="OLE_LINK30"/>
      <w:bookmarkStart w:id="87" w:name="OLE_LINK34"/>
      <w:bookmarkStart w:id="88" w:name="OLE_LINK146"/>
      <w:r>
        <w:rPr>
          <w:rFonts w:hint="eastAsia" w:ascii="宋体" w:hAnsi="宋体"/>
          <w:bCs/>
          <w:sz w:val="24"/>
          <w:lang w:val="zh-CN"/>
        </w:rPr>
        <w:t>致</w:t>
      </w:r>
      <w:r>
        <w:rPr>
          <w:rFonts w:hint="eastAsia" w:ascii="宋体" w:hAnsi="宋体"/>
          <w:bCs/>
          <w:sz w:val="24"/>
        </w:rPr>
        <w:t>宜兴市公用环保集团</w:t>
      </w:r>
      <w:r>
        <w:rPr>
          <w:rFonts w:hint="eastAsia" w:ascii="宋体" w:hAnsi="宋体"/>
          <w:bCs/>
          <w:sz w:val="24"/>
          <w:lang w:val="zh-CN"/>
        </w:rPr>
        <w:t>有限公司</w:t>
      </w:r>
      <w:r>
        <w:rPr>
          <w:rFonts w:hint="eastAsia" w:ascii="宋体" w:hAnsi="宋体"/>
          <w:color w:val="000000"/>
          <w:sz w:val="24"/>
          <w:szCs w:val="22"/>
          <w:u w:val="none"/>
          <w:lang w:val="en-US" w:eastAsia="zh-CN"/>
        </w:rPr>
        <w:t>材料分公司</w:t>
      </w:r>
      <w:r>
        <w:rPr>
          <w:rFonts w:hint="eastAsia" w:ascii="宋体" w:hAnsi="宋体"/>
          <w:bCs/>
          <w:sz w:val="24"/>
          <w:lang w:val="zh-CN"/>
        </w:rPr>
        <w:t>：</w:t>
      </w:r>
    </w:p>
    <w:p w14:paraId="04351D29">
      <w:pPr>
        <w:spacing w:line="440" w:lineRule="exact"/>
        <w:ind w:firstLine="480" w:firstLineChars="200"/>
        <w:rPr>
          <w:rFonts w:hint="eastAsia" w:ascii="宋体" w:hAnsi="宋体"/>
          <w:bCs/>
          <w:sz w:val="24"/>
          <w:highlight w:val="none"/>
          <w:lang w:val="zh-CN"/>
        </w:rPr>
      </w:pPr>
      <w:r>
        <w:rPr>
          <w:rFonts w:hint="eastAsia" w:ascii="宋体" w:hAnsi="宋体"/>
          <w:bCs/>
          <w:sz w:val="24"/>
          <w:lang w:val="zh-CN"/>
        </w:rPr>
        <w:t>我方收到你</w:t>
      </w:r>
      <w:r>
        <w:rPr>
          <w:rFonts w:hint="eastAsia" w:ascii="宋体" w:hAnsi="宋体"/>
          <w:bCs/>
          <w:sz w:val="24"/>
          <w:highlight w:val="none"/>
          <w:lang w:val="zh-CN"/>
        </w:rPr>
        <w:t>们YXGYJT202601028（EPC）（代）招标文件，经仔细阅读和研究，我方决定参加投标。</w:t>
      </w:r>
    </w:p>
    <w:p w14:paraId="06215634">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1．</w:t>
      </w:r>
      <w:r>
        <w:rPr>
          <w:rFonts w:hint="eastAsia" w:ascii="宋体" w:hAnsi="宋体"/>
          <w:bCs/>
          <w:sz w:val="24"/>
          <w:highlight w:val="none"/>
          <w:lang w:val="zh-CN"/>
        </w:rPr>
        <w:t>我方愿意按照招标文件的一切要求，提供投标设备，投标总价详见《开标一览表》。</w:t>
      </w:r>
    </w:p>
    <w:p w14:paraId="69D9EBE1">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2．</w:t>
      </w:r>
      <w:r>
        <w:rPr>
          <w:rFonts w:hint="eastAsia" w:ascii="宋体" w:hAnsi="宋体"/>
          <w:bCs/>
          <w:sz w:val="24"/>
          <w:highlight w:val="none"/>
          <w:lang w:val="zh-CN"/>
        </w:rPr>
        <w:t>我方已对照招标设备的技术参数要求，填写了投标设备的技术参数要求，详见《偏离表》。</w:t>
      </w:r>
    </w:p>
    <w:p w14:paraId="3D026D29">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3．</w:t>
      </w:r>
      <w:r>
        <w:rPr>
          <w:rFonts w:hint="eastAsia" w:ascii="宋体" w:hAnsi="宋体"/>
          <w:bCs/>
          <w:sz w:val="24"/>
          <w:highlight w:val="none"/>
          <w:lang w:val="zh-CN"/>
        </w:rPr>
        <w:t>我方同意按招标文件中的规定，本投标文件的有效期为提交投标文件截止之日起的60天（含提交当日）。在特殊情况下，可与贵方协商延长投标文件的有效期。</w:t>
      </w:r>
    </w:p>
    <w:p w14:paraId="7D4ABC56">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4．</w:t>
      </w:r>
      <w:r>
        <w:rPr>
          <w:rFonts w:hint="eastAsia" w:ascii="宋体" w:hAnsi="宋体"/>
          <w:bCs/>
          <w:sz w:val="24"/>
          <w:highlight w:val="none"/>
          <w:lang w:val="zh-CN"/>
        </w:rPr>
        <w:t>如果我方的投标文件被接受，我方将履行招投标文件中规定的每一项要求，按期、按质、按量、按地点，完成交货任务。</w:t>
      </w:r>
    </w:p>
    <w:p w14:paraId="207B3570">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5．</w:t>
      </w:r>
      <w:r>
        <w:rPr>
          <w:rFonts w:hint="eastAsia" w:ascii="宋体" w:hAnsi="宋体"/>
          <w:bCs/>
          <w:sz w:val="24"/>
          <w:highlight w:val="none"/>
          <w:lang w:val="zh-CN"/>
        </w:rPr>
        <w:t>我方愿意根据贵方的要求，提供投标文件中所有材料的原件复印件及相关证明性资料。</w:t>
      </w:r>
    </w:p>
    <w:p w14:paraId="307C9671">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6．</w:t>
      </w:r>
      <w:r>
        <w:rPr>
          <w:rFonts w:hint="eastAsia" w:ascii="宋体" w:hAnsi="宋体"/>
          <w:bCs/>
          <w:sz w:val="24"/>
          <w:lang w:val="zh-CN"/>
        </w:rPr>
        <w:t>我方认为采购人有权确定中标</w:t>
      </w:r>
      <w:r>
        <w:rPr>
          <w:rFonts w:hint="eastAsia" w:ascii="宋体" w:hAnsi="宋体"/>
          <w:sz w:val="24"/>
          <w:szCs w:val="24"/>
        </w:rPr>
        <w:t>单位</w:t>
      </w:r>
      <w:r>
        <w:rPr>
          <w:rFonts w:hint="eastAsia" w:ascii="宋体" w:hAnsi="宋体"/>
          <w:bCs/>
          <w:sz w:val="24"/>
          <w:lang w:val="zh-CN"/>
        </w:rPr>
        <w:t>。除因不可抗力或招标文件认可的情形以外，我方绝不放弃中标资格。</w:t>
      </w:r>
    </w:p>
    <w:p w14:paraId="33D1F7A0">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7．</w:t>
      </w:r>
      <w:r>
        <w:rPr>
          <w:rFonts w:hint="eastAsia" w:ascii="宋体" w:hAnsi="宋体"/>
          <w:bCs/>
          <w:sz w:val="24"/>
          <w:lang w:val="zh-CN"/>
        </w:rPr>
        <w:t>我方愿意按《中华人民共和国民法典》和合同条款履行自己的全部责任。</w:t>
      </w:r>
    </w:p>
    <w:p w14:paraId="1B731DA4">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8．</w:t>
      </w:r>
      <w:r>
        <w:rPr>
          <w:rFonts w:hint="eastAsia" w:ascii="宋体" w:hAnsi="宋体"/>
          <w:bCs/>
          <w:sz w:val="24"/>
          <w:lang w:val="zh-CN"/>
        </w:rPr>
        <w:t>我方愿意按招标文件的规定交纳投标保证金。</w:t>
      </w:r>
    </w:p>
    <w:p w14:paraId="3E2DF787">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9．</w:t>
      </w: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42221830">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10．</w:t>
      </w:r>
      <w:r>
        <w:rPr>
          <w:rFonts w:hint="eastAsia" w:ascii="宋体" w:hAnsi="宋体"/>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14:paraId="6EBD1BCF">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11．我方不是为本项目提供整体设计、规范编制或者项目管理、监理、检测等服务的供应商。</w:t>
      </w:r>
      <w:bookmarkStart w:id="89" w:name="OLE_LINK233"/>
    </w:p>
    <w:p w14:paraId="4CD84D09">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1</w:t>
      </w:r>
      <w:r>
        <w:rPr>
          <w:rFonts w:hint="eastAsia" w:ascii="宋体" w:hAnsi="宋体" w:cs="Times New Roman"/>
          <w:bCs/>
          <w:kern w:val="2"/>
          <w:sz w:val="24"/>
          <w:lang w:val="en-US" w:eastAsia="zh-CN" w:bidi="ar-SA"/>
        </w:rPr>
        <w:t>2</w:t>
      </w:r>
      <w:r>
        <w:rPr>
          <w:rFonts w:hint="default" w:ascii="宋体" w:hAnsi="宋体" w:eastAsia="宋体" w:cs="Times New Roman"/>
          <w:bCs/>
          <w:kern w:val="2"/>
          <w:sz w:val="24"/>
          <w:lang w:val="zh-CN" w:eastAsia="zh-CN" w:bidi="ar-SA"/>
        </w:rPr>
        <w:t>．关联单位情况说明：</w:t>
      </w:r>
    </w:p>
    <w:tbl>
      <w:tblPr>
        <w:tblStyle w:val="7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3"/>
        <w:gridCol w:w="3824"/>
      </w:tblGrid>
      <w:tr w14:paraId="6227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63" w:type="dxa"/>
            <w:noWrap w:val="0"/>
            <w:vAlign w:val="center"/>
          </w:tcPr>
          <w:p w14:paraId="0C00FD98">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与我方单位负责人为同一人的其他单位</w:t>
            </w:r>
          </w:p>
        </w:tc>
        <w:tc>
          <w:tcPr>
            <w:tcW w:w="3824" w:type="dxa"/>
            <w:noWrap w:val="0"/>
            <w:vAlign w:val="center"/>
          </w:tcPr>
          <w:p w14:paraId="4AF5BD4F">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tc>
      </w:tr>
      <w:tr w14:paraId="3219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563" w:type="dxa"/>
            <w:noWrap w:val="0"/>
            <w:vAlign w:val="center"/>
          </w:tcPr>
          <w:p w14:paraId="445E82E2">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与我方存在直接控股、管理关系的其他单位</w:t>
            </w:r>
          </w:p>
        </w:tc>
        <w:tc>
          <w:tcPr>
            <w:tcW w:w="3824" w:type="dxa"/>
            <w:noWrap w:val="0"/>
            <w:vAlign w:val="center"/>
          </w:tcPr>
          <w:p w14:paraId="0563BAC5">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tc>
      </w:tr>
    </w:tbl>
    <w:p w14:paraId="0DDE4DEB">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注：没有请填无。</w:t>
      </w:r>
    </w:p>
    <w:p w14:paraId="578092D9">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1</w:t>
      </w:r>
      <w:r>
        <w:rPr>
          <w:rFonts w:hint="eastAsia" w:ascii="宋体" w:hAnsi="宋体" w:cs="Times New Roman"/>
          <w:bCs/>
          <w:kern w:val="2"/>
          <w:sz w:val="24"/>
          <w:lang w:val="en-US" w:eastAsia="zh-CN" w:bidi="ar-SA"/>
        </w:rPr>
        <w:t>3</w:t>
      </w:r>
      <w:r>
        <w:rPr>
          <w:rFonts w:hint="default" w:ascii="宋体" w:hAnsi="宋体" w:eastAsia="宋体" w:cs="Times New Roman"/>
          <w:bCs/>
          <w:kern w:val="2"/>
          <w:sz w:val="24"/>
          <w:lang w:val="zh-CN" w:eastAsia="zh-CN" w:bidi="ar-SA"/>
        </w:rPr>
        <w:t>．与本投标有关的一切正式往来函电，请联系：</w:t>
      </w:r>
    </w:p>
    <w:tbl>
      <w:tblPr>
        <w:tblStyle w:val="7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375"/>
        <w:gridCol w:w="1248"/>
        <w:gridCol w:w="3452"/>
      </w:tblGrid>
      <w:tr w14:paraId="2C54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22" w:type="dxa"/>
            <w:noWrap w:val="0"/>
            <w:vAlign w:val="center"/>
          </w:tcPr>
          <w:p w14:paraId="3BEDF4FB">
            <w:pPr>
              <w:numPr>
                <w:ilvl w:val="0"/>
                <w:numId w:val="0"/>
              </w:numPr>
              <w:spacing w:line="440" w:lineRule="exact"/>
              <w:jc w:val="both"/>
              <w:rPr>
                <w:rFonts w:hint="default" w:ascii="宋体" w:hAnsi="宋体" w:eastAsia="宋体" w:cs="Times New Roman"/>
                <w:bCs/>
                <w:kern w:val="2"/>
                <w:sz w:val="24"/>
                <w:lang w:val="zh-CN" w:eastAsia="zh-CN" w:bidi="ar-SA"/>
              </w:rPr>
            </w:pPr>
            <w:bookmarkStart w:id="90" w:name="OLE_LINK249"/>
            <w:r>
              <w:rPr>
                <w:rFonts w:hint="default" w:ascii="宋体" w:hAnsi="宋体" w:eastAsia="宋体" w:cs="Times New Roman"/>
                <w:bCs/>
                <w:kern w:val="2"/>
                <w:sz w:val="24"/>
                <w:lang w:val="zh-CN" w:eastAsia="zh-CN" w:bidi="ar-SA"/>
              </w:rPr>
              <w:t>地址</w:t>
            </w:r>
          </w:p>
        </w:tc>
        <w:tc>
          <w:tcPr>
            <w:tcW w:w="2375" w:type="dxa"/>
            <w:noWrap w:val="0"/>
            <w:vAlign w:val="center"/>
          </w:tcPr>
          <w:p w14:paraId="1C34EFAC">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7A346624">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邮编</w:t>
            </w:r>
          </w:p>
        </w:tc>
        <w:tc>
          <w:tcPr>
            <w:tcW w:w="3452" w:type="dxa"/>
            <w:noWrap w:val="0"/>
            <w:vAlign w:val="center"/>
          </w:tcPr>
          <w:p w14:paraId="6307BE5D">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1337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22" w:type="dxa"/>
            <w:noWrap w:val="0"/>
            <w:vAlign w:val="center"/>
          </w:tcPr>
          <w:p w14:paraId="40D20C7B">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传真</w:t>
            </w:r>
          </w:p>
        </w:tc>
        <w:tc>
          <w:tcPr>
            <w:tcW w:w="2375" w:type="dxa"/>
            <w:noWrap w:val="0"/>
            <w:vAlign w:val="center"/>
          </w:tcPr>
          <w:p w14:paraId="43617C73">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5A34E868">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办公电话</w:t>
            </w:r>
          </w:p>
        </w:tc>
        <w:tc>
          <w:tcPr>
            <w:tcW w:w="3452" w:type="dxa"/>
            <w:noWrap w:val="0"/>
            <w:vAlign w:val="center"/>
          </w:tcPr>
          <w:p w14:paraId="7E431929">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325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022" w:type="dxa"/>
            <w:noWrap w:val="0"/>
            <w:vAlign w:val="center"/>
          </w:tcPr>
          <w:p w14:paraId="0060E292">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法定代表人</w:t>
            </w:r>
          </w:p>
        </w:tc>
        <w:tc>
          <w:tcPr>
            <w:tcW w:w="2375" w:type="dxa"/>
            <w:noWrap w:val="0"/>
            <w:vAlign w:val="center"/>
          </w:tcPr>
          <w:p w14:paraId="5E9F6CC2">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7B42E73F">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手机号码</w:t>
            </w:r>
          </w:p>
        </w:tc>
        <w:tc>
          <w:tcPr>
            <w:tcW w:w="3452" w:type="dxa"/>
            <w:noWrap w:val="0"/>
            <w:vAlign w:val="center"/>
          </w:tcPr>
          <w:p w14:paraId="6032E081">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43D4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022" w:type="dxa"/>
            <w:noWrap w:val="0"/>
            <w:vAlign w:val="center"/>
          </w:tcPr>
          <w:p w14:paraId="65B13507">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联系人</w:t>
            </w:r>
          </w:p>
        </w:tc>
        <w:tc>
          <w:tcPr>
            <w:tcW w:w="2375" w:type="dxa"/>
            <w:noWrap w:val="0"/>
            <w:vAlign w:val="center"/>
          </w:tcPr>
          <w:p w14:paraId="17F0B4E3">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617C925C">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手机号码</w:t>
            </w:r>
          </w:p>
        </w:tc>
        <w:tc>
          <w:tcPr>
            <w:tcW w:w="3452" w:type="dxa"/>
            <w:noWrap w:val="0"/>
            <w:vAlign w:val="center"/>
          </w:tcPr>
          <w:p w14:paraId="7C3D7FA6">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7DE9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2" w:type="dxa"/>
            <w:noWrap w:val="0"/>
            <w:vAlign w:val="center"/>
          </w:tcPr>
          <w:p w14:paraId="2E400A87">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开户名称</w:t>
            </w:r>
          </w:p>
        </w:tc>
        <w:tc>
          <w:tcPr>
            <w:tcW w:w="7075" w:type="dxa"/>
            <w:gridSpan w:val="3"/>
            <w:noWrap w:val="0"/>
            <w:vAlign w:val="center"/>
          </w:tcPr>
          <w:p w14:paraId="1EA0659A">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023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22" w:type="dxa"/>
            <w:noWrap w:val="0"/>
            <w:vAlign w:val="center"/>
          </w:tcPr>
          <w:p w14:paraId="0CC48F12">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开户银行</w:t>
            </w:r>
          </w:p>
        </w:tc>
        <w:tc>
          <w:tcPr>
            <w:tcW w:w="2375" w:type="dxa"/>
            <w:noWrap w:val="0"/>
            <w:vAlign w:val="center"/>
          </w:tcPr>
          <w:p w14:paraId="5758AAA8">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0A85F23E">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开户账号</w:t>
            </w:r>
          </w:p>
        </w:tc>
        <w:tc>
          <w:tcPr>
            <w:tcW w:w="3452" w:type="dxa"/>
            <w:noWrap w:val="0"/>
            <w:vAlign w:val="center"/>
          </w:tcPr>
          <w:p w14:paraId="3484C24F">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bookmarkEnd w:id="89"/>
      <w:bookmarkEnd w:id="90"/>
    </w:tbl>
    <w:p w14:paraId="35F64904">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p w14:paraId="5F814DD0">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 xml:space="preserve">                              投  标  人（签章）：</w:t>
      </w:r>
    </w:p>
    <w:p w14:paraId="1A411C52">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 xml:space="preserve">                              投  标  人（签名）：</w:t>
      </w:r>
    </w:p>
    <w:p w14:paraId="71183ED2">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bookmarkEnd w:id="86"/>
    <w:bookmarkEnd w:id="87"/>
    <w:p w14:paraId="61093227">
      <w:pPr>
        <w:rPr>
          <w:rFonts w:hint="eastAsia"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88"/>
    </w:p>
    <w:p w14:paraId="31341C2C">
      <w:pPr>
        <w:jc w:val="left"/>
        <w:rPr>
          <w:rFonts w:hint="eastAsia" w:ascii="黑体" w:hAnsi="宋体" w:eastAsia="黑体"/>
          <w:bCs/>
          <w:sz w:val="24"/>
          <w:szCs w:val="24"/>
        </w:rPr>
      </w:pPr>
      <w:r>
        <w:rPr>
          <w:rFonts w:hint="eastAsia" w:ascii="黑体" w:hAnsi="宋体" w:eastAsia="黑体"/>
          <w:bCs/>
          <w:sz w:val="24"/>
          <w:szCs w:val="24"/>
          <w:lang w:val="en-US" w:eastAsia="zh-CN"/>
        </w:rPr>
        <w:t>1</w:t>
      </w:r>
      <w:r>
        <w:rPr>
          <w:rFonts w:hint="eastAsia" w:ascii="黑体" w:hAnsi="宋体" w:eastAsia="黑体"/>
          <w:bCs/>
          <w:sz w:val="24"/>
          <w:szCs w:val="24"/>
        </w:rPr>
        <w:t>、</w:t>
      </w:r>
      <w:r>
        <w:rPr>
          <w:rFonts w:hint="eastAsia" w:ascii="黑体" w:hAnsi="宋体" w:eastAsia="黑体"/>
          <w:bCs/>
          <w:sz w:val="24"/>
          <w:szCs w:val="24"/>
          <w:lang w:val="en-US" w:eastAsia="zh-CN"/>
        </w:rPr>
        <w:t>开标一览</w:t>
      </w:r>
      <w:r>
        <w:rPr>
          <w:rFonts w:hint="eastAsia" w:ascii="黑体" w:hAnsi="宋体" w:eastAsia="黑体"/>
          <w:bCs/>
          <w:sz w:val="24"/>
          <w:szCs w:val="24"/>
        </w:rPr>
        <w:t>表（格式）：</w:t>
      </w:r>
    </w:p>
    <w:bookmarkEnd w:id="83"/>
    <w:p w14:paraId="0AD09BE5">
      <w:pPr>
        <w:spacing w:before="160" w:beforeLines="50" w:after="160" w:afterLines="50" w:line="360" w:lineRule="exact"/>
        <w:jc w:val="center"/>
        <w:rPr>
          <w:rFonts w:ascii="黑体" w:hAnsi="黑体" w:eastAsia="黑体"/>
          <w:sz w:val="28"/>
          <w:szCs w:val="28"/>
        </w:rPr>
      </w:pPr>
      <w:bookmarkStart w:id="91" w:name="_Toc32423"/>
      <w:bookmarkStart w:id="92" w:name="OLE_LINK31"/>
      <w:bookmarkStart w:id="93" w:name="_Toc4946"/>
      <w:r>
        <w:rPr>
          <w:rFonts w:hint="eastAsia" w:ascii="黑体" w:eastAsia="黑体"/>
          <w:bCs/>
          <w:sz w:val="28"/>
          <w:szCs w:val="28"/>
        </w:rPr>
        <w:t>开标一览表</w:t>
      </w:r>
      <w:bookmarkEnd w:id="91"/>
    </w:p>
    <w:p w14:paraId="11603CE3">
      <w:pPr>
        <w:spacing w:line="360" w:lineRule="exact"/>
        <w:jc w:val="center"/>
        <w:rPr>
          <w:rFonts w:hint="eastAsia" w:ascii="宋体" w:hAnsi="宋体" w:eastAsia="宋体"/>
          <w:sz w:val="28"/>
          <w:szCs w:val="28"/>
          <w:lang w:eastAsia="zh-CN"/>
        </w:rPr>
      </w:pPr>
      <w:r>
        <w:rPr>
          <w:rFonts w:hint="eastAsia" w:ascii="宋体" w:hAnsi="宋体"/>
          <w:sz w:val="28"/>
          <w:szCs w:val="28"/>
        </w:rPr>
        <w:t xml:space="preserve">项目编号： </w:t>
      </w:r>
      <w:r>
        <w:rPr>
          <w:rFonts w:hint="eastAsia" w:ascii="宋体" w:hAnsi="宋体"/>
          <w:sz w:val="28"/>
          <w:szCs w:val="28"/>
          <w:lang w:eastAsia="zh-CN"/>
        </w:rPr>
        <w:t>YXGYJT202601028（EPC）（代）</w:t>
      </w:r>
    </w:p>
    <w:p w14:paraId="6F75EC2E">
      <w:pPr>
        <w:spacing w:line="540" w:lineRule="exact"/>
        <w:jc w:val="both"/>
        <w:rPr>
          <w:rFonts w:ascii="宋体" w:hAnsi="宋体"/>
          <w:sz w:val="24"/>
          <w:szCs w:val="24"/>
        </w:rPr>
      </w:pPr>
      <w:r>
        <w:rPr>
          <w:rFonts w:hint="eastAsia" w:ascii="宋体" w:hAnsi="宋体"/>
          <w:sz w:val="24"/>
          <w:szCs w:val="24"/>
        </w:rPr>
        <w:t>投标人名称（盖章）：                                    单位：元</w:t>
      </w:r>
      <w:bookmarkEnd w:id="92"/>
    </w:p>
    <w:tbl>
      <w:tblPr>
        <w:tblStyle w:val="75"/>
        <w:tblW w:w="48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2032"/>
        <w:gridCol w:w="739"/>
        <w:gridCol w:w="820"/>
        <w:gridCol w:w="3636"/>
        <w:gridCol w:w="1735"/>
      </w:tblGrid>
      <w:tr w14:paraId="578A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E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D2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设备名称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8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F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5D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含税</w:t>
            </w:r>
            <w:r>
              <w:rPr>
                <w:rFonts w:hint="eastAsia" w:ascii="宋体" w:hAnsi="宋体" w:cs="宋体"/>
                <w:i w:val="0"/>
                <w:iCs w:val="0"/>
                <w:color w:val="000000"/>
                <w:kern w:val="0"/>
                <w:sz w:val="21"/>
                <w:szCs w:val="21"/>
                <w:u w:val="none"/>
                <w:lang w:val="en-US" w:eastAsia="zh-CN" w:bidi="ar"/>
              </w:rPr>
              <w:t>总价</w:t>
            </w:r>
            <w:r>
              <w:rPr>
                <w:rFonts w:hint="eastAsia" w:ascii="宋体" w:hAnsi="宋体" w:eastAsia="宋体" w:cs="宋体"/>
                <w:i w:val="0"/>
                <w:iCs w:val="0"/>
                <w:color w:val="000000"/>
                <w:kern w:val="0"/>
                <w:sz w:val="21"/>
                <w:szCs w:val="21"/>
                <w:u w:val="none"/>
                <w:lang w:val="en-US" w:eastAsia="zh-CN" w:bidi="ar"/>
              </w:rPr>
              <w:t xml:space="preserve">       </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A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D0F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46" w:type="pct"/>
            <w:vMerge w:val="restart"/>
            <w:tcBorders>
              <w:top w:val="single" w:color="000000" w:sz="4" w:space="0"/>
              <w:left w:val="single" w:color="000000" w:sz="4" w:space="0"/>
              <w:right w:val="single" w:color="000000" w:sz="4" w:space="0"/>
            </w:tcBorders>
            <w:shd w:val="clear" w:color="auto" w:fill="auto"/>
            <w:vAlign w:val="center"/>
          </w:tcPr>
          <w:p w14:paraId="1F3F63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5" w:type="pct"/>
            <w:vMerge w:val="restart"/>
            <w:tcBorders>
              <w:top w:val="single" w:color="000000" w:sz="4" w:space="0"/>
              <w:left w:val="single" w:color="000000" w:sz="4" w:space="0"/>
              <w:right w:val="single" w:color="000000" w:sz="4" w:space="0"/>
            </w:tcBorders>
            <w:shd w:val="clear" w:color="auto" w:fill="auto"/>
            <w:vAlign w:val="center"/>
          </w:tcPr>
          <w:p w14:paraId="70BA9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加药系统</w:t>
            </w:r>
            <w:r>
              <w:rPr>
                <w:rFonts w:hint="eastAsia" w:ascii="宋体" w:hAnsi="宋体" w:cs="宋体"/>
                <w:i w:val="0"/>
                <w:iCs w:val="0"/>
                <w:color w:val="000000"/>
                <w:kern w:val="0"/>
                <w:sz w:val="21"/>
                <w:szCs w:val="21"/>
                <w:u w:val="none"/>
                <w:lang w:val="en-US" w:eastAsia="zh-CN" w:bidi="ar"/>
              </w:rPr>
              <w:t>项目</w:t>
            </w:r>
          </w:p>
        </w:tc>
        <w:tc>
          <w:tcPr>
            <w:tcW w:w="383" w:type="pct"/>
            <w:vMerge w:val="restart"/>
            <w:tcBorders>
              <w:top w:val="single" w:color="000000" w:sz="4" w:space="0"/>
              <w:left w:val="single" w:color="000000" w:sz="4" w:space="0"/>
              <w:right w:val="single" w:color="000000" w:sz="4" w:space="0"/>
            </w:tcBorders>
            <w:shd w:val="clear" w:color="auto" w:fill="auto"/>
            <w:vAlign w:val="center"/>
          </w:tcPr>
          <w:p w14:paraId="3E5E12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项</w:t>
            </w:r>
          </w:p>
        </w:tc>
        <w:tc>
          <w:tcPr>
            <w:tcW w:w="425" w:type="pct"/>
            <w:vMerge w:val="restart"/>
            <w:tcBorders>
              <w:top w:val="single" w:color="000000" w:sz="4" w:space="0"/>
              <w:left w:val="single" w:color="000000" w:sz="4" w:space="0"/>
              <w:right w:val="single" w:color="000000" w:sz="4" w:space="0"/>
            </w:tcBorders>
            <w:shd w:val="clear" w:color="auto" w:fill="auto"/>
            <w:vAlign w:val="center"/>
          </w:tcPr>
          <w:p w14:paraId="6B53E6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0F8B">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小写：</w:t>
            </w:r>
          </w:p>
        </w:tc>
        <w:tc>
          <w:tcPr>
            <w:tcW w:w="900" w:type="pct"/>
            <w:vMerge w:val="restart"/>
            <w:tcBorders>
              <w:top w:val="single" w:color="000000" w:sz="4" w:space="0"/>
              <w:left w:val="single" w:color="000000" w:sz="4" w:space="0"/>
              <w:right w:val="single" w:color="000000" w:sz="4" w:space="0"/>
            </w:tcBorders>
            <w:shd w:val="clear" w:color="auto" w:fill="auto"/>
            <w:vAlign w:val="top"/>
          </w:tcPr>
          <w:p w14:paraId="5480ED37">
            <w:pPr>
              <w:jc w:val="center"/>
              <w:rPr>
                <w:rFonts w:hint="eastAsia" w:ascii="宋体" w:hAnsi="宋体" w:eastAsia="宋体" w:cs="宋体"/>
                <w:i w:val="0"/>
                <w:iCs w:val="0"/>
                <w:color w:val="000000"/>
                <w:sz w:val="21"/>
                <w:szCs w:val="21"/>
                <w:u w:val="none"/>
              </w:rPr>
            </w:pPr>
          </w:p>
        </w:tc>
      </w:tr>
      <w:tr w14:paraId="01F6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46" w:type="pct"/>
            <w:vMerge w:val="continue"/>
            <w:tcBorders>
              <w:left w:val="single" w:color="000000" w:sz="4" w:space="0"/>
              <w:bottom w:val="single" w:color="000000" w:sz="4" w:space="0"/>
              <w:right w:val="single" w:color="000000" w:sz="4" w:space="0"/>
            </w:tcBorders>
            <w:shd w:val="clear" w:color="auto" w:fill="auto"/>
            <w:vAlign w:val="center"/>
          </w:tcPr>
          <w:p w14:paraId="27F7A352">
            <w:pPr>
              <w:jc w:val="center"/>
            </w:pPr>
          </w:p>
        </w:tc>
        <w:tc>
          <w:tcPr>
            <w:tcW w:w="1055" w:type="pct"/>
            <w:vMerge w:val="continue"/>
            <w:tcBorders>
              <w:left w:val="single" w:color="000000" w:sz="4" w:space="0"/>
              <w:bottom w:val="single" w:color="000000" w:sz="4" w:space="0"/>
              <w:right w:val="single" w:color="000000" w:sz="4" w:space="0"/>
            </w:tcBorders>
            <w:shd w:val="clear" w:color="auto" w:fill="auto"/>
            <w:vAlign w:val="center"/>
          </w:tcPr>
          <w:p w14:paraId="6C4EFC81">
            <w:pPr>
              <w:jc w:val="center"/>
            </w:pPr>
          </w:p>
        </w:tc>
        <w:tc>
          <w:tcPr>
            <w:tcW w:w="383" w:type="pct"/>
            <w:vMerge w:val="continue"/>
            <w:tcBorders>
              <w:left w:val="single" w:color="000000" w:sz="4" w:space="0"/>
              <w:bottom w:val="single" w:color="000000" w:sz="4" w:space="0"/>
              <w:right w:val="single" w:color="000000" w:sz="4" w:space="0"/>
            </w:tcBorders>
            <w:shd w:val="clear" w:color="auto" w:fill="auto"/>
            <w:vAlign w:val="center"/>
          </w:tcPr>
          <w:p w14:paraId="3A2DEA4E">
            <w:pPr>
              <w:jc w:val="center"/>
            </w:pPr>
          </w:p>
        </w:tc>
        <w:tc>
          <w:tcPr>
            <w:tcW w:w="425" w:type="pct"/>
            <w:vMerge w:val="continue"/>
            <w:tcBorders>
              <w:left w:val="single" w:color="000000" w:sz="4" w:space="0"/>
              <w:bottom w:val="single" w:color="000000" w:sz="4" w:space="0"/>
              <w:right w:val="single" w:color="000000" w:sz="4" w:space="0"/>
            </w:tcBorders>
            <w:shd w:val="clear" w:color="auto" w:fill="auto"/>
            <w:vAlign w:val="center"/>
          </w:tcPr>
          <w:p w14:paraId="1A1B15F9">
            <w:pPr>
              <w:jc w:val="center"/>
            </w:pP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0FD2">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大写：</w:t>
            </w:r>
          </w:p>
        </w:tc>
        <w:tc>
          <w:tcPr>
            <w:tcW w:w="900" w:type="pct"/>
            <w:vMerge w:val="continue"/>
            <w:tcBorders>
              <w:left w:val="single" w:color="000000" w:sz="4" w:space="0"/>
              <w:bottom w:val="single" w:color="000000" w:sz="4" w:space="0"/>
              <w:right w:val="single" w:color="000000" w:sz="4" w:space="0"/>
            </w:tcBorders>
            <w:shd w:val="clear" w:color="auto" w:fill="auto"/>
            <w:vAlign w:val="top"/>
          </w:tcPr>
          <w:p w14:paraId="6A9EFADF">
            <w:pPr>
              <w:jc w:val="center"/>
              <w:rPr>
                <w:rFonts w:hint="eastAsia" w:ascii="宋体" w:hAnsi="宋体" w:eastAsia="宋体" w:cs="宋体"/>
                <w:i w:val="0"/>
                <w:iCs w:val="0"/>
                <w:color w:val="000000"/>
                <w:sz w:val="21"/>
                <w:szCs w:val="21"/>
                <w:u w:val="none"/>
              </w:rPr>
            </w:pPr>
          </w:p>
        </w:tc>
      </w:tr>
    </w:tbl>
    <w:p w14:paraId="785739EE">
      <w:pPr>
        <w:ind w:left="1"/>
        <w:jc w:val="left"/>
        <w:rPr>
          <w:rFonts w:ascii="宋体" w:hAnsi="宋体"/>
          <w:b/>
          <w:bCs/>
          <w:sz w:val="24"/>
          <w:szCs w:val="24"/>
        </w:rPr>
      </w:pPr>
    </w:p>
    <w:p w14:paraId="323FDD32">
      <w:pPr>
        <w:ind w:left="1"/>
        <w:jc w:val="center"/>
        <w:rPr>
          <w:rFonts w:ascii="宋体" w:hAnsi="宋体"/>
          <w:sz w:val="24"/>
          <w:szCs w:val="24"/>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Start w:id="94" w:name="OLE_LINK147"/>
      <w:r>
        <w:rPr>
          <w:rFonts w:hint="eastAsia" w:ascii="宋体" w:hAnsi="宋体"/>
          <w:sz w:val="24"/>
          <w:szCs w:val="24"/>
        </w:rPr>
        <w:t xml:space="preserve">   </w:t>
      </w:r>
      <w:r>
        <w:rPr>
          <w:rFonts w:hint="eastAsia" w:ascii="宋体" w:hAnsi="宋体"/>
          <w:bCs/>
          <w:sz w:val="24"/>
        </w:rPr>
        <w:t>年   月   日</w:t>
      </w:r>
    </w:p>
    <w:p w14:paraId="0E28F8FA">
      <w:pPr>
        <w:ind w:left="1" w:firstLine="420" w:firstLineChars="200"/>
        <w:jc w:val="left"/>
        <w:rPr>
          <w:rFonts w:hint="eastAsia" w:ascii="宋体" w:hAnsi="宋体"/>
          <w:szCs w:val="21"/>
          <w:lang w:val="zh-CN"/>
        </w:rPr>
      </w:pPr>
    </w:p>
    <w:p w14:paraId="10F5E010">
      <w:pPr>
        <w:ind w:left="1" w:firstLine="420" w:firstLineChars="200"/>
        <w:jc w:val="left"/>
        <w:rPr>
          <w:rFonts w:ascii="宋体" w:hAnsi="宋体"/>
          <w:szCs w:val="21"/>
          <w:highlight w:val="none"/>
          <w:lang w:val="zh-CN"/>
        </w:rPr>
      </w:pPr>
      <w:r>
        <w:rPr>
          <w:rFonts w:hint="eastAsia" w:ascii="宋体" w:hAnsi="宋体"/>
          <w:szCs w:val="21"/>
          <w:highlight w:val="none"/>
          <w:lang w:val="zh-CN"/>
        </w:rPr>
        <w:t>注：</w:t>
      </w:r>
    </w:p>
    <w:p w14:paraId="7370F332">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jc w:val="left"/>
        <w:textAlignment w:val="auto"/>
        <w:rPr>
          <w:rFonts w:ascii="宋体" w:hAnsi="宋体"/>
          <w:szCs w:val="21"/>
          <w:highlight w:val="none"/>
          <w:lang w:val="zh-CN"/>
        </w:rPr>
      </w:pPr>
      <w:r>
        <w:rPr>
          <w:rFonts w:hint="eastAsia" w:ascii="宋体" w:hAnsi="宋体"/>
          <w:szCs w:val="21"/>
          <w:highlight w:val="none"/>
          <w:lang w:val="zh-CN"/>
        </w:rPr>
        <w:t>投标总价已全部考虑了包括所有货物、</w:t>
      </w:r>
      <w:r>
        <w:rPr>
          <w:rFonts w:hint="eastAsia" w:ascii="宋体" w:hAnsi="宋体"/>
          <w:szCs w:val="21"/>
          <w:highlight w:val="none"/>
          <w:lang w:val="en-US" w:eastAsia="zh-CN"/>
        </w:rPr>
        <w:t>服务、附件、</w:t>
      </w:r>
      <w:r>
        <w:rPr>
          <w:rFonts w:hint="eastAsia" w:ascii="宋体" w:hAnsi="宋体"/>
          <w:szCs w:val="21"/>
          <w:highlight w:val="none"/>
          <w:lang w:val="zh-CN"/>
        </w:rPr>
        <w:t>指导安装、调试、人力、机械、运输、厂内仓储、各种税费（如</w:t>
      </w:r>
      <w:r>
        <w:rPr>
          <w:rFonts w:hint="eastAsia" w:ascii="宋体" w:hAnsi="宋体"/>
          <w:szCs w:val="21"/>
          <w:highlight w:val="none"/>
        </w:rPr>
        <w:t>遇</w:t>
      </w:r>
      <w:r>
        <w:rPr>
          <w:rFonts w:hint="eastAsia" w:ascii="宋体" w:hAnsi="宋体"/>
          <w:szCs w:val="21"/>
          <w:highlight w:val="none"/>
          <w:lang w:val="zh-CN"/>
        </w:rPr>
        <w:t>政策性调整</w:t>
      </w:r>
      <w:r>
        <w:rPr>
          <w:rFonts w:hint="eastAsia" w:ascii="宋体" w:hAnsi="宋体"/>
          <w:szCs w:val="21"/>
          <w:highlight w:val="none"/>
        </w:rPr>
        <w:t>将作</w:t>
      </w:r>
      <w:r>
        <w:rPr>
          <w:rFonts w:hint="eastAsia" w:ascii="宋体" w:hAnsi="宋体"/>
          <w:szCs w:val="21"/>
          <w:highlight w:val="none"/>
          <w:lang w:val="zh-CN"/>
        </w:rPr>
        <w:t>同步调整）、劳保、专利技术、质保、政策性文件规定及合同包含的所有风险、责任等各项所有费用。</w:t>
      </w:r>
    </w:p>
    <w:p w14:paraId="1BB9D90C">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highlight w:val="none"/>
          <w:lang w:val="zh-CN"/>
        </w:rPr>
        <w:t>每一项货物或服务仅接受一个价格，</w:t>
      </w:r>
      <w:r>
        <w:rPr>
          <w:rFonts w:hint="eastAsia" w:ascii="宋体" w:hAnsi="宋体"/>
          <w:szCs w:val="21"/>
          <w:lang w:val="zh-CN"/>
        </w:rPr>
        <w:t>投标文件应对《</w:t>
      </w:r>
      <w:bookmarkStart w:id="95" w:name="OLE_LINK15"/>
      <w:r>
        <w:rPr>
          <w:rFonts w:hint="eastAsia" w:ascii="宋体" w:hAnsi="宋体"/>
          <w:szCs w:val="21"/>
          <w:lang w:val="zh-CN"/>
        </w:rPr>
        <w:t>开标一览表</w:t>
      </w:r>
      <w:bookmarkEnd w:id="95"/>
      <w:r>
        <w:rPr>
          <w:rFonts w:hint="eastAsia" w:ascii="宋体" w:hAnsi="宋体"/>
          <w:szCs w:val="21"/>
          <w:lang w:val="zh-CN"/>
        </w:rPr>
        <w:t>》中的全部货物或服务进行投标，只投其中部分货物或服务者，投标无效；</w:t>
      </w:r>
    </w:p>
    <w:p w14:paraId="04732194">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szCs w:val="21"/>
          <w:lang w:val="zh-CN"/>
        </w:rPr>
        <w:t>投标人一旦中标后，如因市场变化等因素导致投标成本的变化，投标报价将不会得到调整。</w:t>
      </w:r>
      <w:bookmarkEnd w:id="94"/>
    </w:p>
    <w:p w14:paraId="453244CD">
      <w:pPr>
        <w:keepNext w:val="0"/>
        <w:keepLines w:val="0"/>
        <w:pageBreakBefore w:val="0"/>
        <w:widowControl w:val="0"/>
        <w:numPr>
          <w:ilvl w:val="0"/>
          <w:numId w:val="27"/>
        </w:numPr>
        <w:kinsoku/>
        <w:wordWrap/>
        <w:overflowPunct/>
        <w:topLinePunct w:val="0"/>
        <w:autoSpaceDE/>
        <w:autoSpaceDN/>
        <w:bidi w:val="0"/>
        <w:adjustRightInd/>
        <w:snapToGrid/>
        <w:ind w:firstLine="420" w:firstLineChars="200"/>
        <w:jc w:val="left"/>
        <w:textAlignment w:val="auto"/>
        <w:rPr>
          <w:rFonts w:ascii="宋体" w:hAnsi="宋体"/>
          <w:szCs w:val="21"/>
          <w:highlight w:val="none"/>
          <w:lang w:val="zh-CN"/>
        </w:rPr>
      </w:pPr>
      <w:r>
        <w:rPr>
          <w:rFonts w:hint="eastAsia" w:ascii="宋体" w:hAnsi="宋体" w:eastAsia="宋体" w:cs="Times New Roman"/>
          <w:color w:val="000000"/>
          <w:sz w:val="21"/>
          <w:szCs w:val="16"/>
          <w:highlight w:val="none"/>
        </w:rPr>
        <w:t>合同签订时或实际使用时数量可能会有较大变动，</w:t>
      </w:r>
      <w:r>
        <w:rPr>
          <w:rFonts w:hint="eastAsia" w:ascii="宋体" w:hAnsi="宋体" w:eastAsia="宋体" w:cs="Times New Roman"/>
          <w:color w:val="000000"/>
          <w:sz w:val="21"/>
          <w:szCs w:val="16"/>
          <w:highlight w:val="none"/>
          <w:lang w:val="en-US" w:eastAsia="zh-CN"/>
        </w:rPr>
        <w:t>乙方</w:t>
      </w:r>
      <w:r>
        <w:rPr>
          <w:rFonts w:hint="eastAsia" w:ascii="宋体" w:hAnsi="宋体" w:eastAsia="宋体" w:cs="Times New Roman"/>
          <w:color w:val="000000"/>
          <w:sz w:val="21"/>
          <w:szCs w:val="16"/>
          <w:highlight w:val="none"/>
        </w:rPr>
        <w:t>接到</w:t>
      </w:r>
      <w:r>
        <w:rPr>
          <w:rFonts w:hint="eastAsia" w:ascii="宋体" w:hAnsi="宋体" w:eastAsia="宋体" w:cs="Times New Roman"/>
          <w:color w:val="000000"/>
          <w:sz w:val="21"/>
          <w:szCs w:val="16"/>
          <w:highlight w:val="none"/>
          <w:lang w:val="en-US" w:eastAsia="zh-CN"/>
        </w:rPr>
        <w:t>甲</w:t>
      </w:r>
      <w:r>
        <w:rPr>
          <w:rFonts w:hint="eastAsia" w:ascii="宋体" w:hAnsi="宋体" w:eastAsia="宋体" w:cs="Times New Roman"/>
          <w:color w:val="000000"/>
          <w:sz w:val="21"/>
          <w:szCs w:val="16"/>
          <w:highlight w:val="none"/>
        </w:rPr>
        <w:t>方发货传真后才能生产对应的设备，最终结算以实际使用数量结算，若由于</w:t>
      </w:r>
      <w:r>
        <w:rPr>
          <w:rFonts w:hint="eastAsia" w:ascii="宋体" w:hAnsi="宋体" w:eastAsia="宋体" w:cs="Times New Roman"/>
          <w:color w:val="000000"/>
          <w:sz w:val="21"/>
          <w:szCs w:val="16"/>
          <w:highlight w:val="none"/>
          <w:lang w:val="en-US" w:eastAsia="zh-CN"/>
        </w:rPr>
        <w:t>甲方</w:t>
      </w:r>
      <w:r>
        <w:rPr>
          <w:rFonts w:hint="eastAsia" w:ascii="宋体" w:hAnsi="宋体" w:eastAsia="宋体" w:cs="Times New Roman"/>
          <w:color w:val="000000"/>
          <w:sz w:val="21"/>
          <w:szCs w:val="16"/>
          <w:highlight w:val="none"/>
        </w:rPr>
        <w:t>原因导致使用数量不足而终止合同的，不作为违约处理。</w:t>
      </w:r>
      <w:r>
        <w:rPr>
          <w:rFonts w:hint="eastAsia" w:ascii="宋体" w:hAnsi="宋体" w:eastAsia="宋体" w:cs="Times New Roman"/>
          <w:color w:val="000000"/>
          <w:sz w:val="21"/>
          <w:szCs w:val="16"/>
          <w:highlight w:val="none"/>
          <w:lang w:val="en-US" w:eastAsia="zh-CN"/>
        </w:rPr>
        <w:t>乙方</w:t>
      </w:r>
      <w:r>
        <w:rPr>
          <w:rFonts w:hint="eastAsia" w:ascii="宋体" w:hAnsi="宋体" w:eastAsia="宋体" w:cs="Times New Roman"/>
          <w:color w:val="000000"/>
          <w:sz w:val="21"/>
          <w:szCs w:val="16"/>
          <w:highlight w:val="none"/>
        </w:rPr>
        <w:t>必须充分考虑市场原料价格变动和实际使用数量的风险，最终结算以</w:t>
      </w:r>
      <w:r>
        <w:rPr>
          <w:rFonts w:hint="eastAsia" w:ascii="宋体" w:hAnsi="宋体" w:cs="Times New Roman"/>
          <w:color w:val="000000"/>
          <w:sz w:val="21"/>
          <w:szCs w:val="16"/>
          <w:highlight w:val="none"/>
          <w:lang w:val="en-US" w:eastAsia="zh-CN"/>
        </w:rPr>
        <w:t>中标</w:t>
      </w:r>
      <w:r>
        <w:rPr>
          <w:rFonts w:hint="eastAsia" w:ascii="宋体" w:hAnsi="宋体" w:eastAsia="宋体" w:cs="Times New Roman"/>
          <w:color w:val="000000"/>
          <w:sz w:val="21"/>
          <w:szCs w:val="16"/>
          <w:highlight w:val="none"/>
        </w:rPr>
        <w:t>单价为准。</w:t>
      </w:r>
    </w:p>
    <w:p w14:paraId="71B0EDD5">
      <w:pPr>
        <w:rPr>
          <w:rFonts w:hint="eastAsia" w:ascii="黑体" w:hAnsi="宋体" w:eastAsia="黑体"/>
          <w:bCs/>
          <w:sz w:val="24"/>
          <w:szCs w:val="24"/>
          <w:highlight w:val="none"/>
        </w:rPr>
      </w:pPr>
      <w:r>
        <w:rPr>
          <w:rFonts w:hint="eastAsia" w:ascii="黑体" w:hAnsi="宋体" w:eastAsia="黑体"/>
          <w:bCs/>
          <w:sz w:val="24"/>
          <w:szCs w:val="24"/>
          <w:highlight w:val="none"/>
        </w:rPr>
        <w:br w:type="page"/>
      </w:r>
    </w:p>
    <w:p w14:paraId="48381D67">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6041411D">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5158DA66">
      <w:pPr>
        <w:jc w:val="center"/>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sz w:val="28"/>
          <w:szCs w:val="28"/>
          <w:lang w:eastAsia="zh-CN"/>
        </w:rPr>
        <w:t>YXGYJT202601028（EPC）（代）</w:t>
      </w:r>
    </w:p>
    <w:p w14:paraId="1083FA2E">
      <w:pPr>
        <w:spacing w:before="160" w:beforeLines="50"/>
        <w:jc w:val="center"/>
        <w:rPr>
          <w:rFonts w:hint="eastAsia" w:ascii="黑体" w:hAnsi="黑体" w:eastAsia="黑体"/>
          <w:sz w:val="28"/>
          <w:szCs w:val="28"/>
        </w:rPr>
      </w:pPr>
      <w:r>
        <w:rPr>
          <w:rFonts w:hint="eastAsia" w:ascii="宋体" w:hAnsi="宋体"/>
          <w:sz w:val="24"/>
          <w:szCs w:val="24"/>
        </w:rPr>
        <w:t xml:space="preserve"> 投标人名称（盖章）：                                              单位：元</w:t>
      </w:r>
    </w:p>
    <w:tbl>
      <w:tblPr>
        <w:tblStyle w:val="7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062"/>
        <w:gridCol w:w="1200"/>
        <w:gridCol w:w="573"/>
        <w:gridCol w:w="627"/>
        <w:gridCol w:w="887"/>
        <w:gridCol w:w="900"/>
        <w:gridCol w:w="1091"/>
        <w:gridCol w:w="895"/>
        <w:gridCol w:w="805"/>
        <w:gridCol w:w="1314"/>
      </w:tblGrid>
      <w:tr w14:paraId="0E3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00" w:type="dxa"/>
            <w:vAlign w:val="center"/>
          </w:tcPr>
          <w:p w14:paraId="599E927F">
            <w:pPr>
              <w:spacing w:before="5"/>
              <w:jc w:val="center"/>
              <w:rPr>
                <w:sz w:val="18"/>
                <w:szCs w:val="18"/>
                <w:highlight w:val="none"/>
              </w:rPr>
            </w:pPr>
            <w:bookmarkStart w:id="96" w:name="_Toc14859"/>
            <w:r>
              <w:rPr>
                <w:rFonts w:hint="eastAsia"/>
                <w:sz w:val="18"/>
                <w:szCs w:val="18"/>
                <w:highlight w:val="none"/>
              </w:rPr>
              <w:t>序号</w:t>
            </w:r>
          </w:p>
        </w:tc>
        <w:tc>
          <w:tcPr>
            <w:tcW w:w="1062" w:type="dxa"/>
            <w:vAlign w:val="center"/>
          </w:tcPr>
          <w:p w14:paraId="715F17F2">
            <w:pPr>
              <w:spacing w:before="5"/>
              <w:jc w:val="center"/>
              <w:rPr>
                <w:rFonts w:hint="eastAsia" w:eastAsia="宋体"/>
                <w:sz w:val="18"/>
                <w:szCs w:val="18"/>
                <w:highlight w:val="none"/>
                <w:lang w:val="en-US" w:eastAsia="zh-CN"/>
              </w:rPr>
            </w:pPr>
            <w:r>
              <w:rPr>
                <w:rFonts w:hint="eastAsia"/>
                <w:sz w:val="18"/>
                <w:szCs w:val="18"/>
                <w:highlight w:val="none"/>
                <w:lang w:val="en-US" w:eastAsia="zh-CN"/>
              </w:rPr>
              <w:t>类别</w:t>
            </w:r>
          </w:p>
        </w:tc>
        <w:tc>
          <w:tcPr>
            <w:tcW w:w="1200" w:type="dxa"/>
            <w:vAlign w:val="center"/>
          </w:tcPr>
          <w:p w14:paraId="20476BB3">
            <w:pPr>
              <w:spacing w:before="5"/>
              <w:jc w:val="center"/>
              <w:rPr>
                <w:rFonts w:hint="default" w:eastAsia="宋体"/>
                <w:sz w:val="18"/>
                <w:szCs w:val="18"/>
                <w:highlight w:val="none"/>
                <w:lang w:val="en-US" w:eastAsia="zh-CN"/>
              </w:rPr>
            </w:pPr>
            <w:r>
              <w:rPr>
                <w:rFonts w:hint="eastAsia"/>
                <w:sz w:val="18"/>
                <w:szCs w:val="18"/>
                <w:highlight w:val="none"/>
                <w:lang w:val="en-US" w:eastAsia="zh-CN"/>
              </w:rPr>
              <w:t>名称</w:t>
            </w:r>
          </w:p>
        </w:tc>
        <w:tc>
          <w:tcPr>
            <w:tcW w:w="573" w:type="dxa"/>
            <w:vAlign w:val="center"/>
          </w:tcPr>
          <w:p w14:paraId="72FAAA3D">
            <w:pPr>
              <w:spacing w:before="5"/>
              <w:jc w:val="center"/>
              <w:rPr>
                <w:sz w:val="18"/>
                <w:szCs w:val="18"/>
                <w:highlight w:val="none"/>
              </w:rPr>
            </w:pPr>
            <w:r>
              <w:rPr>
                <w:rFonts w:hint="eastAsia"/>
                <w:sz w:val="18"/>
                <w:szCs w:val="18"/>
                <w:highlight w:val="none"/>
              </w:rPr>
              <w:t>单位</w:t>
            </w:r>
          </w:p>
        </w:tc>
        <w:tc>
          <w:tcPr>
            <w:tcW w:w="627" w:type="dxa"/>
            <w:vAlign w:val="center"/>
          </w:tcPr>
          <w:p w14:paraId="1FE8D9AC">
            <w:pPr>
              <w:spacing w:before="5"/>
              <w:jc w:val="center"/>
              <w:rPr>
                <w:sz w:val="18"/>
                <w:szCs w:val="18"/>
                <w:highlight w:val="none"/>
              </w:rPr>
            </w:pPr>
            <w:r>
              <w:rPr>
                <w:rFonts w:hint="eastAsia"/>
                <w:sz w:val="18"/>
                <w:szCs w:val="18"/>
                <w:highlight w:val="none"/>
              </w:rPr>
              <w:t>数量</w:t>
            </w:r>
          </w:p>
        </w:tc>
        <w:tc>
          <w:tcPr>
            <w:tcW w:w="887" w:type="dxa"/>
            <w:vAlign w:val="center"/>
          </w:tcPr>
          <w:p w14:paraId="6B8AA3EE">
            <w:pPr>
              <w:spacing w:before="5"/>
              <w:jc w:val="center"/>
              <w:rPr>
                <w:rFonts w:hint="eastAsia"/>
                <w:sz w:val="18"/>
                <w:szCs w:val="18"/>
                <w:highlight w:val="none"/>
              </w:rPr>
            </w:pPr>
            <w:r>
              <w:rPr>
                <w:rFonts w:hint="eastAsia"/>
                <w:sz w:val="18"/>
                <w:szCs w:val="18"/>
                <w:highlight w:val="none"/>
              </w:rPr>
              <w:t>单价</w:t>
            </w:r>
          </w:p>
          <w:p w14:paraId="6B852560">
            <w:pPr>
              <w:spacing w:before="5"/>
              <w:jc w:val="center"/>
              <w:rPr>
                <w:rFonts w:hint="eastAsia" w:eastAsia="宋体"/>
                <w:sz w:val="18"/>
                <w:szCs w:val="18"/>
                <w:highlight w:val="none"/>
                <w:lang w:eastAsia="zh-CN"/>
              </w:rPr>
            </w:pPr>
            <w:r>
              <w:rPr>
                <w:rFonts w:hint="eastAsia"/>
                <w:sz w:val="18"/>
                <w:szCs w:val="18"/>
                <w:highlight w:val="none"/>
                <w:lang w:eastAsia="zh-CN"/>
              </w:rPr>
              <w:t>（</w:t>
            </w:r>
            <w:r>
              <w:rPr>
                <w:rFonts w:hint="eastAsia"/>
                <w:sz w:val="18"/>
                <w:szCs w:val="18"/>
                <w:highlight w:val="none"/>
                <w:lang w:val="en-US" w:eastAsia="zh-CN"/>
              </w:rPr>
              <w:t>含税</w:t>
            </w:r>
            <w:r>
              <w:rPr>
                <w:rFonts w:hint="eastAsia"/>
                <w:sz w:val="18"/>
                <w:szCs w:val="18"/>
                <w:highlight w:val="none"/>
                <w:lang w:eastAsia="zh-CN"/>
              </w:rPr>
              <w:t>）</w:t>
            </w:r>
          </w:p>
        </w:tc>
        <w:tc>
          <w:tcPr>
            <w:tcW w:w="900" w:type="dxa"/>
            <w:vAlign w:val="center"/>
          </w:tcPr>
          <w:p w14:paraId="343898CC">
            <w:pPr>
              <w:spacing w:before="5"/>
              <w:jc w:val="center"/>
              <w:rPr>
                <w:rFonts w:hint="eastAsia"/>
                <w:sz w:val="18"/>
                <w:szCs w:val="18"/>
                <w:highlight w:val="none"/>
                <w:lang w:val="en-US" w:eastAsia="zh-CN"/>
              </w:rPr>
            </w:pPr>
            <w:r>
              <w:rPr>
                <w:rFonts w:hint="eastAsia"/>
                <w:sz w:val="18"/>
                <w:szCs w:val="18"/>
                <w:highlight w:val="none"/>
                <w:lang w:val="en-US" w:eastAsia="zh-CN"/>
              </w:rPr>
              <w:t>总价</w:t>
            </w:r>
          </w:p>
          <w:p w14:paraId="512FFE1E">
            <w:pPr>
              <w:spacing w:before="5"/>
              <w:jc w:val="center"/>
              <w:rPr>
                <w:rFonts w:hint="eastAsia"/>
                <w:sz w:val="18"/>
                <w:szCs w:val="18"/>
                <w:highlight w:val="none"/>
              </w:rPr>
            </w:pPr>
            <w:r>
              <w:rPr>
                <w:rFonts w:hint="eastAsia"/>
                <w:sz w:val="18"/>
                <w:szCs w:val="18"/>
                <w:highlight w:val="none"/>
                <w:lang w:eastAsia="zh-CN"/>
              </w:rPr>
              <w:t>（</w:t>
            </w:r>
            <w:r>
              <w:rPr>
                <w:rFonts w:hint="eastAsia"/>
                <w:sz w:val="18"/>
                <w:szCs w:val="18"/>
                <w:highlight w:val="none"/>
                <w:lang w:val="en-US" w:eastAsia="zh-CN"/>
              </w:rPr>
              <w:t>含税</w:t>
            </w:r>
            <w:r>
              <w:rPr>
                <w:rFonts w:hint="eastAsia"/>
                <w:sz w:val="18"/>
                <w:szCs w:val="18"/>
                <w:highlight w:val="none"/>
                <w:lang w:eastAsia="zh-CN"/>
              </w:rPr>
              <w:t>）</w:t>
            </w:r>
          </w:p>
        </w:tc>
        <w:tc>
          <w:tcPr>
            <w:tcW w:w="1091" w:type="dxa"/>
            <w:vAlign w:val="center"/>
          </w:tcPr>
          <w:p w14:paraId="1239BE8B">
            <w:pPr>
              <w:spacing w:before="5"/>
              <w:jc w:val="center"/>
              <w:rPr>
                <w:rFonts w:hint="eastAsia"/>
                <w:sz w:val="18"/>
                <w:szCs w:val="18"/>
                <w:highlight w:val="none"/>
                <w:lang w:val="en-US" w:eastAsia="zh-CN"/>
              </w:rPr>
            </w:pPr>
            <w:r>
              <w:rPr>
                <w:rFonts w:hint="eastAsia"/>
                <w:sz w:val="18"/>
                <w:szCs w:val="18"/>
                <w:highlight w:val="none"/>
                <w:lang w:val="en-US" w:eastAsia="zh-CN"/>
              </w:rPr>
              <w:t>总价</w:t>
            </w:r>
          </w:p>
          <w:p w14:paraId="4AADB53D">
            <w:pPr>
              <w:spacing w:before="5"/>
              <w:jc w:val="center"/>
              <w:rPr>
                <w:rFonts w:hint="eastAsia"/>
                <w:sz w:val="18"/>
                <w:szCs w:val="18"/>
                <w:highlight w:val="none"/>
              </w:rPr>
            </w:pPr>
            <w:r>
              <w:rPr>
                <w:rFonts w:hint="eastAsia"/>
                <w:sz w:val="18"/>
                <w:szCs w:val="18"/>
                <w:highlight w:val="none"/>
                <w:lang w:eastAsia="zh-CN"/>
              </w:rPr>
              <w:t>（</w:t>
            </w:r>
            <w:r>
              <w:rPr>
                <w:rFonts w:hint="eastAsia"/>
                <w:sz w:val="18"/>
                <w:szCs w:val="18"/>
                <w:highlight w:val="none"/>
                <w:lang w:val="en-US" w:eastAsia="zh-CN"/>
              </w:rPr>
              <w:t>不含税</w:t>
            </w:r>
            <w:r>
              <w:rPr>
                <w:rFonts w:hint="eastAsia"/>
                <w:sz w:val="18"/>
                <w:szCs w:val="18"/>
                <w:highlight w:val="none"/>
                <w:lang w:eastAsia="zh-CN"/>
              </w:rPr>
              <w:t>）</w:t>
            </w:r>
          </w:p>
        </w:tc>
        <w:tc>
          <w:tcPr>
            <w:tcW w:w="895" w:type="dxa"/>
            <w:vAlign w:val="center"/>
          </w:tcPr>
          <w:p w14:paraId="00FBBB20">
            <w:pPr>
              <w:spacing w:before="5"/>
              <w:jc w:val="center"/>
              <w:rPr>
                <w:rFonts w:hint="default" w:eastAsia="宋体"/>
                <w:sz w:val="18"/>
                <w:szCs w:val="18"/>
                <w:highlight w:val="none"/>
                <w:lang w:val="en-US" w:eastAsia="zh-CN"/>
              </w:rPr>
            </w:pPr>
            <w:r>
              <w:rPr>
                <w:rFonts w:hint="eastAsia"/>
                <w:sz w:val="18"/>
                <w:szCs w:val="18"/>
                <w:highlight w:val="none"/>
                <w:lang w:val="en-US" w:eastAsia="zh-CN"/>
              </w:rPr>
              <w:t>增值税税额</w:t>
            </w:r>
          </w:p>
        </w:tc>
        <w:tc>
          <w:tcPr>
            <w:tcW w:w="805" w:type="dxa"/>
            <w:vAlign w:val="center"/>
          </w:tcPr>
          <w:p w14:paraId="6D8D5224">
            <w:pPr>
              <w:spacing w:before="5"/>
              <w:jc w:val="center"/>
              <w:rPr>
                <w:sz w:val="18"/>
                <w:szCs w:val="18"/>
                <w:highlight w:val="none"/>
              </w:rPr>
            </w:pPr>
            <w:r>
              <w:rPr>
                <w:rFonts w:hint="eastAsia"/>
                <w:sz w:val="18"/>
                <w:szCs w:val="18"/>
                <w:highlight w:val="none"/>
              </w:rPr>
              <w:t>小计</w:t>
            </w:r>
          </w:p>
        </w:tc>
        <w:tc>
          <w:tcPr>
            <w:tcW w:w="1314" w:type="dxa"/>
            <w:vAlign w:val="center"/>
          </w:tcPr>
          <w:p w14:paraId="2271FF1D">
            <w:pPr>
              <w:spacing w:before="5"/>
              <w:jc w:val="center"/>
              <w:rPr>
                <w:rFonts w:hint="default" w:eastAsia="宋体"/>
                <w:sz w:val="18"/>
                <w:szCs w:val="18"/>
                <w:highlight w:val="none"/>
                <w:lang w:val="en-US" w:eastAsia="zh-CN"/>
              </w:rPr>
            </w:pPr>
            <w:r>
              <w:rPr>
                <w:rFonts w:hint="eastAsia"/>
                <w:sz w:val="18"/>
                <w:szCs w:val="18"/>
                <w:highlight w:val="none"/>
                <w:lang w:val="en-US" w:eastAsia="zh-CN"/>
              </w:rPr>
              <w:t>生产厂家</w:t>
            </w:r>
          </w:p>
        </w:tc>
      </w:tr>
      <w:tr w14:paraId="206C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0" w:type="dxa"/>
            <w:vAlign w:val="center"/>
          </w:tcPr>
          <w:p w14:paraId="47DD93B3">
            <w:pPr>
              <w:spacing w:before="5"/>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1062" w:type="dxa"/>
            <w:vAlign w:val="center"/>
          </w:tcPr>
          <w:p w14:paraId="217F7130">
            <w:pPr>
              <w:jc w:val="center"/>
              <w:rPr>
                <w:sz w:val="18"/>
                <w:szCs w:val="18"/>
                <w:highlight w:val="none"/>
              </w:rPr>
            </w:pPr>
            <w:r>
              <w:rPr>
                <w:rFonts w:hint="eastAsia" w:ascii="宋体" w:hAnsi="宋体" w:eastAsia="宋体" w:cs="Times New Roman"/>
                <w:sz w:val="18"/>
                <w:szCs w:val="18"/>
                <w:highlight w:val="none"/>
                <w:lang w:val="en-US" w:eastAsia="zh-CN"/>
              </w:rPr>
              <w:t>脱水加药系统</w:t>
            </w:r>
            <w:r>
              <w:rPr>
                <w:rFonts w:hint="eastAsia" w:ascii="宋体" w:hAnsi="宋体" w:eastAsia="宋体" w:cs="Times New Roman"/>
                <w:b/>
                <w:bCs/>
                <w:color w:val="0000FF"/>
                <w:sz w:val="18"/>
                <w:szCs w:val="18"/>
                <w:highlight w:val="none"/>
                <w:lang w:val="en-US" w:eastAsia="zh-CN"/>
              </w:rPr>
              <w:t>（撬装供货）</w:t>
            </w:r>
          </w:p>
        </w:tc>
        <w:tc>
          <w:tcPr>
            <w:tcW w:w="1200" w:type="dxa"/>
            <w:vAlign w:val="center"/>
          </w:tcPr>
          <w:p w14:paraId="36698127">
            <w:pPr>
              <w:spacing w:before="5"/>
              <w:jc w:val="center"/>
              <w:rPr>
                <w:sz w:val="18"/>
                <w:szCs w:val="18"/>
                <w:highlight w:val="none"/>
              </w:rPr>
            </w:pPr>
            <w:r>
              <w:rPr>
                <w:rFonts w:hint="eastAsia"/>
                <w:sz w:val="18"/>
                <w:szCs w:val="18"/>
                <w:highlight w:val="none"/>
                <w:lang w:val="en-US" w:eastAsia="zh-CN"/>
              </w:rPr>
              <w:t>脱水加药系统（撬装供货）</w:t>
            </w:r>
          </w:p>
        </w:tc>
        <w:tc>
          <w:tcPr>
            <w:tcW w:w="573" w:type="dxa"/>
            <w:vAlign w:val="center"/>
          </w:tcPr>
          <w:p w14:paraId="5D2185D3">
            <w:pPr>
              <w:spacing w:before="5"/>
              <w:jc w:val="center"/>
              <w:rPr>
                <w:rFonts w:hint="eastAsia" w:eastAsia="宋体"/>
                <w:sz w:val="18"/>
                <w:szCs w:val="18"/>
                <w:highlight w:val="none"/>
                <w:lang w:val="en-US" w:eastAsia="zh-CN"/>
              </w:rPr>
            </w:pPr>
            <w:r>
              <w:rPr>
                <w:rFonts w:hint="eastAsia"/>
                <w:sz w:val="18"/>
                <w:szCs w:val="18"/>
                <w:highlight w:val="none"/>
                <w:lang w:val="en-US" w:eastAsia="zh-CN"/>
              </w:rPr>
              <w:t>项</w:t>
            </w:r>
          </w:p>
        </w:tc>
        <w:tc>
          <w:tcPr>
            <w:tcW w:w="627" w:type="dxa"/>
            <w:vAlign w:val="center"/>
          </w:tcPr>
          <w:p w14:paraId="1F0F5125">
            <w:pPr>
              <w:spacing w:before="5"/>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887" w:type="dxa"/>
            <w:vAlign w:val="center"/>
          </w:tcPr>
          <w:p w14:paraId="2C84FC7D">
            <w:pPr>
              <w:spacing w:before="5"/>
              <w:jc w:val="center"/>
              <w:rPr>
                <w:sz w:val="18"/>
                <w:szCs w:val="18"/>
                <w:highlight w:val="none"/>
              </w:rPr>
            </w:pPr>
          </w:p>
        </w:tc>
        <w:tc>
          <w:tcPr>
            <w:tcW w:w="900" w:type="dxa"/>
            <w:vAlign w:val="center"/>
          </w:tcPr>
          <w:p w14:paraId="534AC8AD">
            <w:pPr>
              <w:spacing w:before="5"/>
              <w:jc w:val="center"/>
              <w:rPr>
                <w:sz w:val="18"/>
                <w:szCs w:val="18"/>
                <w:highlight w:val="none"/>
              </w:rPr>
            </w:pPr>
          </w:p>
        </w:tc>
        <w:tc>
          <w:tcPr>
            <w:tcW w:w="1091" w:type="dxa"/>
            <w:vAlign w:val="center"/>
          </w:tcPr>
          <w:p w14:paraId="5E2BA119">
            <w:pPr>
              <w:spacing w:before="5"/>
              <w:jc w:val="center"/>
              <w:rPr>
                <w:sz w:val="18"/>
                <w:szCs w:val="18"/>
                <w:highlight w:val="none"/>
              </w:rPr>
            </w:pPr>
          </w:p>
        </w:tc>
        <w:tc>
          <w:tcPr>
            <w:tcW w:w="895" w:type="dxa"/>
            <w:vAlign w:val="center"/>
          </w:tcPr>
          <w:p w14:paraId="1B8067A9">
            <w:pPr>
              <w:spacing w:before="5"/>
              <w:jc w:val="center"/>
              <w:rPr>
                <w:sz w:val="18"/>
                <w:szCs w:val="18"/>
                <w:highlight w:val="none"/>
              </w:rPr>
            </w:pPr>
          </w:p>
        </w:tc>
        <w:tc>
          <w:tcPr>
            <w:tcW w:w="805" w:type="dxa"/>
            <w:vAlign w:val="center"/>
          </w:tcPr>
          <w:p w14:paraId="3845B470">
            <w:pPr>
              <w:spacing w:before="5"/>
              <w:jc w:val="center"/>
              <w:rPr>
                <w:sz w:val="18"/>
                <w:szCs w:val="18"/>
                <w:highlight w:val="none"/>
              </w:rPr>
            </w:pPr>
          </w:p>
        </w:tc>
        <w:tc>
          <w:tcPr>
            <w:tcW w:w="1314" w:type="dxa"/>
            <w:vAlign w:val="center"/>
          </w:tcPr>
          <w:p w14:paraId="1FA5A660">
            <w:pPr>
              <w:spacing w:before="5"/>
              <w:jc w:val="center"/>
              <w:rPr>
                <w:sz w:val="18"/>
                <w:szCs w:val="18"/>
                <w:highlight w:val="none"/>
              </w:rPr>
            </w:pPr>
          </w:p>
        </w:tc>
      </w:tr>
      <w:tr w14:paraId="23D0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0" w:type="dxa"/>
            <w:vAlign w:val="center"/>
          </w:tcPr>
          <w:p w14:paraId="1A855DE3">
            <w:pPr>
              <w:spacing w:before="5"/>
              <w:jc w:val="center"/>
              <w:rPr>
                <w:rFonts w:hint="default"/>
                <w:sz w:val="18"/>
                <w:szCs w:val="18"/>
                <w:highlight w:val="none"/>
                <w:lang w:val="en-US" w:eastAsia="zh-CN"/>
              </w:rPr>
            </w:pPr>
            <w:r>
              <w:rPr>
                <w:rFonts w:hint="eastAsia"/>
                <w:sz w:val="18"/>
                <w:szCs w:val="18"/>
                <w:highlight w:val="none"/>
                <w:lang w:val="en-US" w:eastAsia="zh-CN"/>
              </w:rPr>
              <w:t>2</w:t>
            </w:r>
          </w:p>
        </w:tc>
        <w:tc>
          <w:tcPr>
            <w:tcW w:w="1062" w:type="dxa"/>
            <w:vMerge w:val="restart"/>
            <w:vAlign w:val="center"/>
          </w:tcPr>
          <w:p w14:paraId="0AA54499">
            <w:pPr>
              <w:jc w:val="center"/>
              <w:rPr>
                <w:sz w:val="18"/>
                <w:szCs w:val="18"/>
                <w:highlight w:val="none"/>
              </w:rPr>
            </w:pPr>
            <w:r>
              <w:rPr>
                <w:rFonts w:hint="eastAsia" w:ascii="宋体" w:hAnsi="宋体" w:eastAsia="宋体" w:cs="Times New Roman"/>
                <w:sz w:val="18"/>
                <w:szCs w:val="18"/>
                <w:highlight w:val="none"/>
                <w:lang w:val="en-US" w:eastAsia="zh-CN"/>
              </w:rPr>
              <w:t>尾水加药系统</w:t>
            </w:r>
          </w:p>
        </w:tc>
        <w:tc>
          <w:tcPr>
            <w:tcW w:w="1200" w:type="dxa"/>
            <w:vAlign w:val="center"/>
          </w:tcPr>
          <w:p w14:paraId="57B721AA">
            <w:pPr>
              <w:jc w:val="center"/>
              <w:rPr>
                <w:sz w:val="18"/>
                <w:szCs w:val="18"/>
                <w:highlight w:val="none"/>
              </w:rPr>
            </w:pPr>
            <w:r>
              <w:rPr>
                <w:rFonts w:hint="eastAsia" w:ascii="宋体" w:hAnsi="宋体" w:eastAsia="宋体" w:cs="Times New Roman"/>
                <w:sz w:val="18"/>
                <w:szCs w:val="18"/>
                <w:highlight w:val="none"/>
                <w:lang w:val="en-US" w:eastAsia="zh-CN"/>
              </w:rPr>
              <w:t>加药箱</w:t>
            </w:r>
          </w:p>
        </w:tc>
        <w:tc>
          <w:tcPr>
            <w:tcW w:w="573" w:type="dxa"/>
            <w:shd w:val="clear" w:color="auto" w:fill="auto"/>
            <w:vAlign w:val="center"/>
          </w:tcPr>
          <w:p w14:paraId="0A34BC55">
            <w:pPr>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座</w:t>
            </w:r>
          </w:p>
        </w:tc>
        <w:tc>
          <w:tcPr>
            <w:tcW w:w="627" w:type="dxa"/>
            <w:shd w:val="clear" w:color="auto" w:fill="auto"/>
            <w:vAlign w:val="center"/>
          </w:tcPr>
          <w:p w14:paraId="1E09F726">
            <w:pPr>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2</w:t>
            </w:r>
          </w:p>
        </w:tc>
        <w:tc>
          <w:tcPr>
            <w:tcW w:w="887" w:type="dxa"/>
            <w:vAlign w:val="center"/>
          </w:tcPr>
          <w:p w14:paraId="0B01A732">
            <w:pPr>
              <w:spacing w:before="5"/>
              <w:jc w:val="center"/>
              <w:rPr>
                <w:sz w:val="18"/>
                <w:szCs w:val="18"/>
                <w:highlight w:val="none"/>
              </w:rPr>
            </w:pPr>
          </w:p>
        </w:tc>
        <w:tc>
          <w:tcPr>
            <w:tcW w:w="900" w:type="dxa"/>
            <w:vAlign w:val="center"/>
          </w:tcPr>
          <w:p w14:paraId="5B023A28">
            <w:pPr>
              <w:spacing w:before="5"/>
              <w:jc w:val="center"/>
              <w:rPr>
                <w:sz w:val="18"/>
                <w:szCs w:val="18"/>
                <w:highlight w:val="none"/>
              </w:rPr>
            </w:pPr>
          </w:p>
        </w:tc>
        <w:tc>
          <w:tcPr>
            <w:tcW w:w="1091" w:type="dxa"/>
            <w:vAlign w:val="center"/>
          </w:tcPr>
          <w:p w14:paraId="37E5B3BC">
            <w:pPr>
              <w:spacing w:before="5"/>
              <w:jc w:val="center"/>
              <w:rPr>
                <w:sz w:val="18"/>
                <w:szCs w:val="18"/>
                <w:highlight w:val="none"/>
              </w:rPr>
            </w:pPr>
          </w:p>
        </w:tc>
        <w:tc>
          <w:tcPr>
            <w:tcW w:w="895" w:type="dxa"/>
            <w:vAlign w:val="center"/>
          </w:tcPr>
          <w:p w14:paraId="15835221">
            <w:pPr>
              <w:spacing w:before="5"/>
              <w:jc w:val="center"/>
              <w:rPr>
                <w:sz w:val="18"/>
                <w:szCs w:val="18"/>
                <w:highlight w:val="none"/>
              </w:rPr>
            </w:pPr>
          </w:p>
        </w:tc>
        <w:tc>
          <w:tcPr>
            <w:tcW w:w="805" w:type="dxa"/>
            <w:vAlign w:val="center"/>
          </w:tcPr>
          <w:p w14:paraId="0D844EAE">
            <w:pPr>
              <w:spacing w:before="5"/>
              <w:jc w:val="center"/>
              <w:rPr>
                <w:sz w:val="18"/>
                <w:szCs w:val="18"/>
                <w:highlight w:val="none"/>
              </w:rPr>
            </w:pPr>
          </w:p>
        </w:tc>
        <w:tc>
          <w:tcPr>
            <w:tcW w:w="1314" w:type="dxa"/>
            <w:vAlign w:val="center"/>
          </w:tcPr>
          <w:p w14:paraId="5F718996">
            <w:pPr>
              <w:spacing w:before="5"/>
              <w:jc w:val="center"/>
              <w:rPr>
                <w:sz w:val="18"/>
                <w:szCs w:val="18"/>
                <w:highlight w:val="none"/>
              </w:rPr>
            </w:pPr>
          </w:p>
        </w:tc>
      </w:tr>
      <w:tr w14:paraId="7F8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0" w:type="dxa"/>
            <w:vAlign w:val="center"/>
          </w:tcPr>
          <w:p w14:paraId="548D8C97">
            <w:pPr>
              <w:spacing w:before="5"/>
              <w:jc w:val="center"/>
              <w:rPr>
                <w:rFonts w:hint="eastAsia" w:eastAsia="宋体"/>
                <w:sz w:val="18"/>
                <w:szCs w:val="18"/>
                <w:highlight w:val="none"/>
                <w:lang w:val="en-US" w:eastAsia="zh-CN"/>
              </w:rPr>
            </w:pPr>
            <w:r>
              <w:rPr>
                <w:rFonts w:hint="eastAsia"/>
                <w:sz w:val="18"/>
                <w:szCs w:val="18"/>
                <w:highlight w:val="none"/>
                <w:lang w:val="en-US" w:eastAsia="zh-CN"/>
              </w:rPr>
              <w:t>3</w:t>
            </w:r>
          </w:p>
        </w:tc>
        <w:tc>
          <w:tcPr>
            <w:tcW w:w="1062" w:type="dxa"/>
            <w:vMerge w:val="continue"/>
            <w:vAlign w:val="center"/>
          </w:tcPr>
          <w:p w14:paraId="54FCA6DF">
            <w:pPr>
              <w:spacing w:before="5"/>
              <w:jc w:val="center"/>
              <w:rPr>
                <w:sz w:val="18"/>
                <w:szCs w:val="18"/>
                <w:highlight w:val="none"/>
              </w:rPr>
            </w:pPr>
          </w:p>
        </w:tc>
        <w:tc>
          <w:tcPr>
            <w:tcW w:w="1200" w:type="dxa"/>
            <w:vAlign w:val="center"/>
          </w:tcPr>
          <w:p w14:paraId="0666A42B">
            <w:pPr>
              <w:jc w:val="center"/>
              <w:rPr>
                <w:sz w:val="18"/>
                <w:szCs w:val="18"/>
                <w:highlight w:val="none"/>
              </w:rPr>
            </w:pPr>
            <w:r>
              <w:rPr>
                <w:rFonts w:hint="eastAsia" w:ascii="宋体" w:hAnsi="宋体" w:eastAsia="宋体" w:cs="Times New Roman"/>
                <w:sz w:val="18"/>
                <w:szCs w:val="18"/>
                <w:highlight w:val="none"/>
                <w:lang w:val="en-US" w:eastAsia="zh-CN"/>
              </w:rPr>
              <w:t>加药泵（隔膜计量泵）</w:t>
            </w:r>
          </w:p>
        </w:tc>
        <w:tc>
          <w:tcPr>
            <w:tcW w:w="573" w:type="dxa"/>
            <w:shd w:val="clear" w:color="auto" w:fill="auto"/>
            <w:vAlign w:val="center"/>
          </w:tcPr>
          <w:p w14:paraId="639E7F78">
            <w:pPr>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台</w:t>
            </w:r>
          </w:p>
        </w:tc>
        <w:tc>
          <w:tcPr>
            <w:tcW w:w="627" w:type="dxa"/>
            <w:shd w:val="clear" w:color="auto" w:fill="auto"/>
            <w:vAlign w:val="center"/>
          </w:tcPr>
          <w:p w14:paraId="79E098FB">
            <w:pPr>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8</w:t>
            </w:r>
          </w:p>
        </w:tc>
        <w:tc>
          <w:tcPr>
            <w:tcW w:w="887" w:type="dxa"/>
            <w:vAlign w:val="center"/>
          </w:tcPr>
          <w:p w14:paraId="7DA1B3E9">
            <w:pPr>
              <w:spacing w:before="5"/>
              <w:jc w:val="center"/>
              <w:rPr>
                <w:sz w:val="18"/>
                <w:szCs w:val="18"/>
                <w:highlight w:val="none"/>
              </w:rPr>
            </w:pPr>
          </w:p>
        </w:tc>
        <w:tc>
          <w:tcPr>
            <w:tcW w:w="900" w:type="dxa"/>
            <w:vAlign w:val="center"/>
          </w:tcPr>
          <w:p w14:paraId="3DB15F27">
            <w:pPr>
              <w:spacing w:before="5"/>
              <w:jc w:val="center"/>
              <w:rPr>
                <w:sz w:val="18"/>
                <w:szCs w:val="18"/>
                <w:highlight w:val="none"/>
              </w:rPr>
            </w:pPr>
          </w:p>
        </w:tc>
        <w:tc>
          <w:tcPr>
            <w:tcW w:w="1091" w:type="dxa"/>
            <w:vAlign w:val="center"/>
          </w:tcPr>
          <w:p w14:paraId="3C5EF505">
            <w:pPr>
              <w:spacing w:before="5"/>
              <w:jc w:val="center"/>
              <w:rPr>
                <w:sz w:val="18"/>
                <w:szCs w:val="18"/>
                <w:highlight w:val="none"/>
              </w:rPr>
            </w:pPr>
          </w:p>
        </w:tc>
        <w:tc>
          <w:tcPr>
            <w:tcW w:w="895" w:type="dxa"/>
            <w:vAlign w:val="center"/>
          </w:tcPr>
          <w:p w14:paraId="65499D4B">
            <w:pPr>
              <w:spacing w:before="5"/>
              <w:jc w:val="center"/>
              <w:rPr>
                <w:sz w:val="18"/>
                <w:szCs w:val="18"/>
                <w:highlight w:val="none"/>
              </w:rPr>
            </w:pPr>
          </w:p>
        </w:tc>
        <w:tc>
          <w:tcPr>
            <w:tcW w:w="805" w:type="dxa"/>
            <w:vAlign w:val="center"/>
          </w:tcPr>
          <w:p w14:paraId="284CD4A5">
            <w:pPr>
              <w:spacing w:before="5"/>
              <w:jc w:val="center"/>
              <w:rPr>
                <w:sz w:val="18"/>
                <w:szCs w:val="18"/>
                <w:highlight w:val="none"/>
              </w:rPr>
            </w:pPr>
          </w:p>
          <w:p w14:paraId="130025E3">
            <w:pPr>
              <w:rPr>
                <w:highlight w:val="none"/>
              </w:rPr>
            </w:pPr>
          </w:p>
        </w:tc>
        <w:tc>
          <w:tcPr>
            <w:tcW w:w="1314" w:type="dxa"/>
            <w:vAlign w:val="center"/>
          </w:tcPr>
          <w:p w14:paraId="5F0E2047">
            <w:pPr>
              <w:spacing w:before="5"/>
              <w:jc w:val="center"/>
              <w:rPr>
                <w:sz w:val="18"/>
                <w:szCs w:val="18"/>
                <w:highlight w:val="none"/>
              </w:rPr>
            </w:pPr>
          </w:p>
        </w:tc>
      </w:tr>
      <w:tr w14:paraId="390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762" w:type="dxa"/>
            <w:gridSpan w:val="3"/>
            <w:vAlign w:val="center"/>
          </w:tcPr>
          <w:p w14:paraId="06D8FF75">
            <w:pPr>
              <w:spacing w:before="5"/>
              <w:jc w:val="center"/>
              <w:rPr>
                <w:sz w:val="18"/>
                <w:szCs w:val="18"/>
              </w:rPr>
            </w:pPr>
            <w:r>
              <w:rPr>
                <w:rFonts w:hint="eastAsia"/>
                <w:sz w:val="18"/>
                <w:szCs w:val="18"/>
              </w:rPr>
              <w:t>合计</w:t>
            </w:r>
            <w:r>
              <w:rPr>
                <w:rFonts w:hint="eastAsia"/>
                <w:sz w:val="18"/>
                <w:szCs w:val="18"/>
                <w:lang w:eastAsia="zh-CN"/>
              </w:rPr>
              <w:t>（</w:t>
            </w:r>
            <w:r>
              <w:rPr>
                <w:rFonts w:hint="eastAsia"/>
                <w:sz w:val="18"/>
                <w:szCs w:val="18"/>
                <w:lang w:val="en-US" w:eastAsia="zh-CN"/>
              </w:rPr>
              <w:t>含税</w:t>
            </w:r>
            <w:r>
              <w:rPr>
                <w:rFonts w:hint="eastAsia"/>
                <w:sz w:val="18"/>
                <w:szCs w:val="18"/>
                <w:lang w:eastAsia="zh-CN"/>
              </w:rPr>
              <w:t>）</w:t>
            </w:r>
            <w:r>
              <w:rPr>
                <w:rFonts w:hint="eastAsia"/>
                <w:sz w:val="18"/>
                <w:szCs w:val="18"/>
              </w:rPr>
              <w:t>（小写）</w:t>
            </w:r>
          </w:p>
        </w:tc>
        <w:tc>
          <w:tcPr>
            <w:tcW w:w="7092" w:type="dxa"/>
            <w:gridSpan w:val="8"/>
            <w:vAlign w:val="center"/>
          </w:tcPr>
          <w:p w14:paraId="08094A90">
            <w:pPr>
              <w:spacing w:before="5"/>
              <w:jc w:val="center"/>
              <w:rPr>
                <w:sz w:val="18"/>
                <w:szCs w:val="18"/>
              </w:rPr>
            </w:pPr>
          </w:p>
        </w:tc>
      </w:tr>
      <w:tr w14:paraId="0011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62" w:type="dxa"/>
            <w:gridSpan w:val="3"/>
            <w:vAlign w:val="center"/>
          </w:tcPr>
          <w:p w14:paraId="7228764C">
            <w:pPr>
              <w:jc w:val="center"/>
              <w:rPr>
                <w:rFonts w:ascii="宋体"/>
                <w:b/>
                <w:bCs/>
                <w:sz w:val="18"/>
                <w:szCs w:val="18"/>
              </w:rPr>
            </w:pPr>
            <w:r>
              <w:rPr>
                <w:rFonts w:hint="eastAsia" w:ascii="宋体"/>
                <w:b/>
                <w:bCs/>
                <w:sz w:val="18"/>
                <w:szCs w:val="18"/>
              </w:rPr>
              <w:t>完工期</w:t>
            </w:r>
          </w:p>
        </w:tc>
        <w:tc>
          <w:tcPr>
            <w:tcW w:w="7092" w:type="dxa"/>
            <w:gridSpan w:val="8"/>
            <w:vAlign w:val="center"/>
          </w:tcPr>
          <w:p w14:paraId="19688285">
            <w:pPr>
              <w:jc w:val="left"/>
              <w:rPr>
                <w:rFonts w:ascii="宋体"/>
                <w:b/>
                <w:bCs/>
                <w:sz w:val="18"/>
                <w:szCs w:val="18"/>
              </w:rPr>
            </w:pPr>
            <w:r>
              <w:rPr>
                <w:rFonts w:hint="eastAsia" w:ascii="宋体"/>
                <w:b/>
                <w:bCs/>
                <w:sz w:val="18"/>
                <w:szCs w:val="18"/>
                <w:lang w:val="en-US" w:eastAsia="zh-CN"/>
              </w:rPr>
              <w:t>自中标之日起接到甲方发货通知后</w:t>
            </w:r>
            <w:r>
              <w:rPr>
                <w:rFonts w:hint="eastAsia" w:ascii="宋体"/>
                <w:b/>
                <w:bCs/>
                <w:sz w:val="18"/>
                <w:szCs w:val="18"/>
                <w:u w:val="single"/>
                <w:lang w:val="en-US" w:eastAsia="zh-CN"/>
              </w:rPr>
              <w:t xml:space="preserve">    </w:t>
            </w:r>
            <w:r>
              <w:rPr>
                <w:rFonts w:hint="eastAsia" w:ascii="宋体"/>
                <w:b/>
                <w:bCs/>
                <w:sz w:val="18"/>
                <w:szCs w:val="18"/>
              </w:rPr>
              <w:t>日内</w:t>
            </w:r>
            <w:r>
              <w:rPr>
                <w:rFonts w:hint="eastAsia" w:ascii="宋体"/>
                <w:b/>
                <w:bCs/>
                <w:sz w:val="18"/>
                <w:szCs w:val="18"/>
                <w:lang w:val="en-US" w:eastAsia="zh-CN"/>
              </w:rPr>
              <w:t>完成供货</w:t>
            </w:r>
            <w:r>
              <w:rPr>
                <w:rFonts w:hint="eastAsia" w:ascii="宋体"/>
                <w:b/>
                <w:bCs/>
                <w:sz w:val="18"/>
                <w:szCs w:val="18"/>
              </w:rPr>
              <w:t>。</w:t>
            </w:r>
          </w:p>
        </w:tc>
      </w:tr>
      <w:tr w14:paraId="2218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762" w:type="dxa"/>
            <w:gridSpan w:val="3"/>
            <w:vAlign w:val="center"/>
          </w:tcPr>
          <w:p w14:paraId="3FAA02EC">
            <w:pPr>
              <w:jc w:val="center"/>
              <w:rPr>
                <w:rFonts w:ascii="宋体"/>
                <w:b/>
                <w:bCs/>
                <w:sz w:val="18"/>
                <w:szCs w:val="18"/>
              </w:rPr>
            </w:pPr>
            <w:r>
              <w:rPr>
                <w:rFonts w:hint="eastAsia" w:ascii="宋体"/>
                <w:b/>
                <w:bCs/>
                <w:sz w:val="18"/>
                <w:szCs w:val="18"/>
              </w:rPr>
              <w:t>项目整体质保期</w:t>
            </w:r>
          </w:p>
        </w:tc>
        <w:tc>
          <w:tcPr>
            <w:tcW w:w="7092" w:type="dxa"/>
            <w:gridSpan w:val="8"/>
            <w:vAlign w:val="center"/>
          </w:tcPr>
          <w:p w14:paraId="1D134561">
            <w:pPr>
              <w:jc w:val="left"/>
              <w:rPr>
                <w:rFonts w:ascii="宋体"/>
                <w:b/>
                <w:bCs/>
                <w:sz w:val="18"/>
                <w:szCs w:val="18"/>
              </w:rPr>
            </w:pPr>
            <w:r>
              <w:rPr>
                <w:rFonts w:hint="eastAsia" w:ascii="宋体" w:hAnsi="宋体" w:cs="Times New Roman"/>
                <w:b/>
                <w:bCs/>
                <w:sz w:val="18"/>
                <w:szCs w:val="18"/>
                <w:lang w:val="en-US" w:eastAsia="zh-CN"/>
              </w:rPr>
              <w:t>自</w:t>
            </w:r>
            <w:r>
              <w:rPr>
                <w:rFonts w:ascii="宋体" w:hAnsi="宋体" w:eastAsia="宋体" w:cs="Times New Roman"/>
                <w:b/>
                <w:bCs/>
                <w:sz w:val="18"/>
                <w:szCs w:val="18"/>
              </w:rPr>
              <w:t>设备安装调试验收合格之日起</w:t>
            </w:r>
            <w:r>
              <w:rPr>
                <w:rFonts w:hint="eastAsia" w:ascii="宋体"/>
                <w:b/>
                <w:bCs/>
                <w:sz w:val="18"/>
                <w:szCs w:val="18"/>
                <w:u w:val="single"/>
                <w:lang w:val="en-US" w:eastAsia="zh-CN"/>
              </w:rPr>
              <w:t xml:space="preserve">   </w:t>
            </w:r>
            <w:r>
              <w:rPr>
                <w:rFonts w:hint="eastAsia" w:ascii="宋体"/>
                <w:b/>
                <w:bCs/>
                <w:sz w:val="18"/>
                <w:szCs w:val="18"/>
                <w:u w:val="none"/>
                <w:lang w:val="en-US" w:eastAsia="zh-CN"/>
              </w:rPr>
              <w:t>年</w:t>
            </w:r>
          </w:p>
        </w:tc>
      </w:tr>
      <w:tr w14:paraId="25D5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62" w:type="dxa"/>
            <w:gridSpan w:val="2"/>
            <w:vAlign w:val="center"/>
          </w:tcPr>
          <w:p w14:paraId="25A7DAE5">
            <w:pPr>
              <w:pStyle w:val="66"/>
              <w:spacing w:line="400" w:lineRule="exact"/>
              <w:ind w:firstLine="90" w:firstLineChars="50"/>
              <w:jc w:val="center"/>
              <w:rPr>
                <w:rFonts w:ascii="宋体" w:hAnsi="宋体"/>
                <w:bCs/>
                <w:sz w:val="18"/>
                <w:szCs w:val="18"/>
              </w:rPr>
            </w:pPr>
            <w:r>
              <w:rPr>
                <w:rFonts w:hint="eastAsia" w:ascii="宋体" w:hAnsi="宋体"/>
                <w:b/>
                <w:bCs/>
                <w:sz w:val="18"/>
                <w:szCs w:val="18"/>
              </w:rPr>
              <w:t>服务承诺</w:t>
            </w:r>
          </w:p>
        </w:tc>
        <w:tc>
          <w:tcPr>
            <w:tcW w:w="8292" w:type="dxa"/>
            <w:gridSpan w:val="9"/>
            <w:vAlign w:val="center"/>
          </w:tcPr>
          <w:p w14:paraId="0D78E486">
            <w:pPr>
              <w:numPr>
                <w:ilvl w:val="0"/>
                <w:numId w:val="28"/>
              </w:numPr>
              <w:rPr>
                <w:rFonts w:ascii="宋体" w:hAnsi="宋体"/>
                <w:bCs/>
                <w:sz w:val="18"/>
                <w:szCs w:val="18"/>
              </w:rPr>
            </w:pPr>
            <w:r>
              <w:rPr>
                <w:rFonts w:hint="eastAsia" w:ascii="宋体" w:hAnsi="宋体"/>
                <w:bCs/>
                <w:sz w:val="18"/>
                <w:szCs w:val="18"/>
              </w:rPr>
              <w:t>质量</w:t>
            </w:r>
            <w:r>
              <w:rPr>
                <w:rFonts w:ascii="宋体" w:hAnsi="宋体"/>
                <w:bCs/>
                <w:sz w:val="18"/>
                <w:szCs w:val="18"/>
              </w:rPr>
              <w:t xml:space="preserve"> 2.</w:t>
            </w:r>
            <w:r>
              <w:rPr>
                <w:rFonts w:hint="eastAsia" w:ascii="宋体" w:hAnsi="宋体"/>
                <w:bCs/>
                <w:sz w:val="18"/>
                <w:szCs w:val="18"/>
              </w:rPr>
              <w:t>安装3</w:t>
            </w:r>
            <w:r>
              <w:rPr>
                <w:rFonts w:ascii="宋体" w:hAnsi="宋体"/>
                <w:bCs/>
                <w:sz w:val="18"/>
                <w:szCs w:val="18"/>
              </w:rPr>
              <w:t>."</w:t>
            </w:r>
            <w:r>
              <w:rPr>
                <w:rFonts w:hint="eastAsia" w:ascii="宋体" w:hAnsi="宋体"/>
                <w:bCs/>
                <w:sz w:val="18"/>
                <w:szCs w:val="18"/>
              </w:rPr>
              <w:t>三包</w:t>
            </w:r>
            <w:r>
              <w:rPr>
                <w:rFonts w:ascii="宋体" w:hAnsi="宋体"/>
                <w:bCs/>
                <w:sz w:val="18"/>
                <w:szCs w:val="18"/>
              </w:rPr>
              <w:t>"(</w:t>
            </w:r>
            <w:r>
              <w:rPr>
                <w:rFonts w:hint="eastAsia" w:ascii="宋体" w:hAnsi="宋体"/>
                <w:bCs/>
                <w:sz w:val="18"/>
                <w:szCs w:val="18"/>
              </w:rPr>
              <w:t>包修、包退、包换)4</w:t>
            </w:r>
            <w:r>
              <w:rPr>
                <w:rFonts w:ascii="宋体" w:hAnsi="宋体"/>
                <w:bCs/>
                <w:sz w:val="18"/>
                <w:szCs w:val="18"/>
              </w:rPr>
              <w:t>.</w:t>
            </w:r>
            <w:r>
              <w:rPr>
                <w:rFonts w:hint="eastAsia" w:ascii="宋体" w:hAnsi="宋体"/>
                <w:bCs/>
                <w:sz w:val="18"/>
                <w:szCs w:val="18"/>
              </w:rPr>
              <w:t>其他承诺</w:t>
            </w:r>
          </w:p>
          <w:p w14:paraId="6AF8BC45">
            <w:pPr>
              <w:spacing w:before="5"/>
              <w:jc w:val="left"/>
              <w:rPr>
                <w:sz w:val="18"/>
                <w:szCs w:val="18"/>
              </w:rPr>
            </w:pPr>
            <w:r>
              <w:rPr>
                <w:rFonts w:hint="eastAsia" w:ascii="宋体" w:hAnsi="宋体"/>
                <w:bCs/>
                <w:sz w:val="18"/>
                <w:szCs w:val="18"/>
              </w:rPr>
              <w:t>（以上是主要承诺，供投标人参考，投标人应在满足招标文件要求的基础上，根据自己单位的情况作出具体承诺）</w:t>
            </w:r>
          </w:p>
        </w:tc>
      </w:tr>
    </w:tbl>
    <w:p w14:paraId="16E1A8E7">
      <w:pPr>
        <w:spacing w:line="360" w:lineRule="auto"/>
        <w:rPr>
          <w:rFonts w:hint="eastAsia" w:ascii="宋体" w:hAnsi="宋体"/>
          <w:b/>
          <w:szCs w:val="21"/>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p>
    <w:p w14:paraId="6D50A0CF">
      <w:pPr>
        <w:spacing w:line="360" w:lineRule="auto"/>
        <w:rPr>
          <w:rFonts w:hint="eastAsia" w:ascii="宋体" w:hAnsi="宋体" w:cs="宋体"/>
          <w:kern w:val="0"/>
          <w:szCs w:val="21"/>
          <w:lang w:val="zh-CN"/>
        </w:rPr>
      </w:pPr>
      <w:r>
        <w:rPr>
          <w:rFonts w:hint="eastAsia" w:ascii="宋体" w:hAnsi="宋体"/>
          <w:b/>
          <w:szCs w:val="21"/>
        </w:rPr>
        <w:t>注：</w:t>
      </w:r>
      <w:r>
        <w:rPr>
          <w:rFonts w:hint="eastAsia" w:ascii="宋体" w:hAnsi="宋体" w:cs="宋体"/>
          <w:kern w:val="0"/>
          <w:szCs w:val="21"/>
          <w:lang w:val="zh-CN"/>
        </w:rPr>
        <w:t xml:space="preserve"> </w:t>
      </w:r>
    </w:p>
    <w:bookmarkEnd w:id="96"/>
    <w:p w14:paraId="3EB7CFC7">
      <w:pPr>
        <w:spacing w:line="360" w:lineRule="auto"/>
        <w:ind w:firstLine="421"/>
        <w:rPr>
          <w:rFonts w:hint="eastAsia" w:ascii="宋体" w:hAnsi="宋体"/>
          <w:bCs/>
          <w:szCs w:val="21"/>
        </w:rPr>
      </w:pPr>
      <w:bookmarkStart w:id="97" w:name="_Toc13985"/>
      <w:r>
        <w:rPr>
          <w:rFonts w:hint="eastAsia" w:ascii="宋体" w:hAnsi="宋体"/>
          <w:bCs/>
          <w:szCs w:val="21"/>
        </w:rPr>
        <w:t>（1）投标人应当根据“第</w:t>
      </w:r>
      <w:r>
        <w:rPr>
          <w:rFonts w:hint="eastAsia" w:ascii="宋体" w:hAnsi="宋体"/>
          <w:bCs/>
          <w:szCs w:val="21"/>
          <w:lang w:val="en-US" w:eastAsia="zh-CN"/>
        </w:rPr>
        <w:t>三</w:t>
      </w:r>
      <w:r>
        <w:rPr>
          <w:rFonts w:hint="eastAsia" w:ascii="宋体" w:hAnsi="宋体"/>
          <w:bCs/>
          <w:szCs w:val="21"/>
        </w:rPr>
        <w:t>章 项目技术要求和有关说明”的内容在上表中详细填写，须包括本次招标的所有细项；</w:t>
      </w:r>
      <w:bookmarkEnd w:id="97"/>
      <w:r>
        <w:rPr>
          <w:rFonts w:hint="eastAsia" w:ascii="宋体" w:hAnsi="宋体"/>
          <w:bCs/>
          <w:szCs w:val="21"/>
        </w:rPr>
        <w:t>“投标明细报价表”合计需与“开标一览表”合计一致。</w:t>
      </w:r>
    </w:p>
    <w:p w14:paraId="1749F61A">
      <w:pPr>
        <w:spacing w:line="360" w:lineRule="auto"/>
        <w:ind w:firstLine="421"/>
        <w:rPr>
          <w:rFonts w:ascii="宋体" w:hAnsi="宋体"/>
          <w:bCs/>
          <w:szCs w:val="21"/>
        </w:rPr>
      </w:pPr>
      <w:r>
        <w:rPr>
          <w:rFonts w:hint="eastAsia" w:ascii="宋体" w:hAnsi="宋体"/>
          <w:bCs/>
          <w:szCs w:val="21"/>
        </w:rPr>
        <w:t>（2）表格不够可自行延长。</w:t>
      </w:r>
      <w:r>
        <w:rPr>
          <w:rFonts w:ascii="宋体" w:hAnsi="宋体"/>
          <w:bCs/>
          <w:szCs w:val="21"/>
        </w:rPr>
        <w:tab/>
      </w:r>
    </w:p>
    <w:p w14:paraId="3B2DD829">
      <w:pPr>
        <w:spacing w:line="360" w:lineRule="auto"/>
        <w:ind w:firstLine="421"/>
        <w:rPr>
          <w:rFonts w:hint="eastAsia" w:ascii="宋体" w:hAnsi="宋体"/>
          <w:bCs/>
          <w:szCs w:val="21"/>
        </w:rPr>
      </w:pPr>
      <w:r>
        <w:rPr>
          <w:rFonts w:hint="eastAsia" w:ascii="宋体" w:hAnsi="宋体"/>
          <w:bCs/>
          <w:szCs w:val="21"/>
        </w:rPr>
        <w:t>（3）</w:t>
      </w: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w:t>
      </w:r>
      <w:r>
        <w:rPr>
          <w:rFonts w:hint="eastAsia" w:ascii="宋体" w:hAnsi="宋体" w:cs="Times New Roman"/>
          <w:color w:val="000000"/>
          <w:sz w:val="21"/>
          <w:szCs w:val="16"/>
          <w:lang w:val="en-US" w:eastAsia="zh-CN"/>
        </w:rPr>
        <w:t>中标</w:t>
      </w:r>
      <w:r>
        <w:rPr>
          <w:rFonts w:hint="eastAsia" w:ascii="宋体" w:hAnsi="宋体" w:eastAsia="宋体" w:cs="Times New Roman"/>
          <w:color w:val="000000"/>
          <w:sz w:val="21"/>
          <w:szCs w:val="16"/>
        </w:rPr>
        <w:t>单价为准。</w:t>
      </w:r>
    </w:p>
    <w:bookmarkEnd w:id="93"/>
    <w:p w14:paraId="69F6E4EA">
      <w:pPr>
        <w:rPr>
          <w:rFonts w:hint="eastAsia" w:ascii="黑体" w:hAnsi="宋体" w:eastAsia="黑体"/>
          <w:bCs/>
          <w:sz w:val="28"/>
          <w:szCs w:val="28"/>
        </w:rPr>
      </w:pPr>
      <w:bookmarkStart w:id="98" w:name="OLE_LINK151"/>
      <w:bookmarkStart w:id="99" w:name="_Toc8000"/>
    </w:p>
    <w:p w14:paraId="7BE9C60C">
      <w:pPr>
        <w:rPr>
          <w:rFonts w:hint="eastAsia" w:ascii="黑体" w:hAnsi="宋体" w:eastAsia="黑体"/>
          <w:bCs/>
          <w:sz w:val="28"/>
          <w:szCs w:val="28"/>
        </w:rPr>
      </w:pPr>
    </w:p>
    <w:p w14:paraId="159A8358">
      <w:pPr>
        <w:rPr>
          <w:rFonts w:hint="eastAsia" w:ascii="黑体" w:hAnsi="宋体" w:eastAsia="黑体"/>
          <w:bCs/>
          <w:sz w:val="28"/>
          <w:szCs w:val="28"/>
        </w:rPr>
      </w:pPr>
    </w:p>
    <w:p w14:paraId="45759D4D">
      <w:pPr>
        <w:rPr>
          <w:rFonts w:hint="eastAsia" w:ascii="黑体" w:hAnsi="宋体" w:eastAsia="黑体"/>
          <w:bCs/>
          <w:sz w:val="28"/>
          <w:szCs w:val="28"/>
        </w:rPr>
      </w:pPr>
      <w:r>
        <w:rPr>
          <w:rFonts w:hint="eastAsia" w:ascii="黑体" w:hAnsi="宋体" w:eastAsia="黑体"/>
          <w:bCs/>
          <w:sz w:val="28"/>
          <w:szCs w:val="28"/>
        </w:rPr>
        <w:br w:type="page"/>
      </w:r>
    </w:p>
    <w:p w14:paraId="4A5EA0D3">
      <w:pPr>
        <w:rPr>
          <w:rFonts w:hint="eastAsia" w:ascii="黑体" w:hAnsi="宋体" w:eastAsia="黑体"/>
          <w:bCs/>
          <w:sz w:val="28"/>
          <w:szCs w:val="28"/>
        </w:rPr>
      </w:pPr>
      <w:r>
        <w:rPr>
          <w:rFonts w:hint="eastAsia" w:ascii="黑体" w:hAnsi="宋体" w:eastAsia="黑体"/>
          <w:bCs/>
          <w:sz w:val="28"/>
          <w:szCs w:val="28"/>
        </w:rPr>
        <w:t>（三）资格证明文件</w:t>
      </w:r>
      <w:bookmarkEnd w:id="98"/>
    </w:p>
    <w:p w14:paraId="66AB9E24">
      <w:pPr>
        <w:ind w:firstLine="480" w:firstLineChars="200"/>
        <w:rPr>
          <w:rFonts w:ascii="黑体" w:eastAsia="黑体"/>
          <w:bCs/>
          <w:sz w:val="36"/>
        </w:rPr>
      </w:pPr>
      <w:r>
        <w:rPr>
          <w:rFonts w:hint="eastAsia" w:ascii="黑体" w:hAnsi="宋体" w:eastAsia="黑体"/>
          <w:bCs/>
          <w:sz w:val="24"/>
          <w:szCs w:val="24"/>
        </w:rPr>
        <w:t>1、关于资格的声明函（格式）：</w:t>
      </w:r>
      <w:bookmarkEnd w:id="99"/>
    </w:p>
    <w:p w14:paraId="547F2B28">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5ABEE426">
      <w:pPr>
        <w:spacing w:line="480" w:lineRule="auto"/>
        <w:ind w:left="5040" w:leftChars="0" w:firstLine="420" w:firstLineChars="0"/>
        <w:jc w:val="both"/>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YXGYJT202601028（EPC）（代）</w:t>
      </w:r>
    </w:p>
    <w:p w14:paraId="00AC0FF8">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lang w:val="en-US" w:eastAsia="zh-CN"/>
        </w:rPr>
        <w:t xml:space="preserve">      </w:t>
      </w:r>
      <w:r>
        <w:rPr>
          <w:rFonts w:ascii="宋体" w:hAnsi="宋体"/>
          <w:bCs/>
          <w:sz w:val="24"/>
          <w:szCs w:val="24"/>
        </w:rPr>
        <w:t xml:space="preserve"> </w:t>
      </w:r>
      <w:r>
        <w:rPr>
          <w:rFonts w:hint="eastAsia" w:ascii="宋体" w:hAnsi="宋体"/>
          <w:bCs/>
          <w:sz w:val="24"/>
          <w:szCs w:val="24"/>
        </w:rPr>
        <w:t>日期：</w:t>
      </w:r>
    </w:p>
    <w:p w14:paraId="7AE38A80">
      <w:pPr>
        <w:spacing w:line="480" w:lineRule="auto"/>
        <w:rPr>
          <w:rFonts w:ascii="宋体"/>
          <w:bCs/>
          <w:sz w:val="24"/>
          <w:szCs w:val="24"/>
        </w:rPr>
      </w:pPr>
      <w:r>
        <w:rPr>
          <w:rFonts w:hint="eastAsia" w:ascii="宋体" w:hAnsi="宋体"/>
          <w:bCs/>
          <w:sz w:val="24"/>
          <w:szCs w:val="24"/>
        </w:rPr>
        <w:t>宜兴市公用环保集团有限公司</w:t>
      </w:r>
      <w:r>
        <w:rPr>
          <w:rFonts w:hint="eastAsia" w:ascii="宋体" w:hAnsi="宋体"/>
          <w:color w:val="000000"/>
          <w:sz w:val="24"/>
          <w:szCs w:val="22"/>
          <w:u w:val="none"/>
          <w:lang w:val="en-US" w:eastAsia="zh-CN"/>
        </w:rPr>
        <w:t>材料分公司</w:t>
      </w:r>
      <w:r>
        <w:rPr>
          <w:rFonts w:hint="eastAsia" w:ascii="宋体" w:hAnsi="宋体"/>
          <w:bCs/>
          <w:sz w:val="24"/>
          <w:szCs w:val="24"/>
        </w:rPr>
        <w:t>：</w:t>
      </w:r>
    </w:p>
    <w:p w14:paraId="2A69E07E">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0" w:name="OLE_LINK242"/>
      <w:r>
        <w:rPr>
          <w:rFonts w:hint="eastAsia" w:ascii="宋体" w:hAnsi="宋体"/>
          <w:bCs/>
          <w:sz w:val="24"/>
          <w:szCs w:val="24"/>
        </w:rPr>
        <w:t>有效期限</w:t>
      </w:r>
      <w:bookmarkEnd w:id="100"/>
      <w:r>
        <w:rPr>
          <w:rFonts w:hint="eastAsia" w:ascii="宋体" w:hAnsi="宋体"/>
          <w:bCs/>
          <w:sz w:val="24"/>
          <w:szCs w:val="24"/>
        </w:rPr>
        <w:t>内的采购严重违法失信行为的处罚记录，未被列入失信名单或</w:t>
      </w:r>
      <w:r>
        <w:rPr>
          <w:rFonts w:hint="eastAsia" w:ascii="宋体" w:hAnsi="宋体"/>
          <w:bCs/>
          <w:sz w:val="24"/>
          <w:szCs w:val="24"/>
          <w:lang w:eastAsia="zh-CN"/>
        </w:rPr>
        <w:t>重大税收违法失信主体名单</w:t>
      </w:r>
      <w:r>
        <w:rPr>
          <w:rFonts w:hint="eastAsia" w:ascii="宋体" w:hAnsi="宋体"/>
          <w:bCs/>
          <w:sz w:val="24"/>
          <w:szCs w:val="24"/>
        </w:rPr>
        <w:t>；且具备履行合同所必需的设备和专业技术能力。我公司（单位）愿针对本次项目进行投标，投标文件中所有关于投标资格的文件、证明、陈述均是真实的、准确的。若有违背，我公司（单位）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hint="eastAsia" w:ascii="宋体"/>
          <w:bCs/>
          <w:sz w:val="24"/>
          <w:szCs w:val="24"/>
          <w:lang w:val="en-US" w:eastAsia="zh-CN"/>
        </w:rPr>
        <w:t>作</w:t>
      </w:r>
      <w:r>
        <w:rPr>
          <w:rFonts w:ascii="宋体"/>
          <w:bCs/>
          <w:sz w:val="24"/>
          <w:szCs w:val="24"/>
        </w:rPr>
        <w:t>出的相关决定并承担由此而产生的一切后果</w:t>
      </w:r>
      <w:r>
        <w:rPr>
          <w:rFonts w:hint="eastAsia" w:ascii="宋体"/>
          <w:bCs/>
          <w:sz w:val="24"/>
          <w:szCs w:val="24"/>
        </w:rPr>
        <w:t>。</w:t>
      </w:r>
    </w:p>
    <w:p w14:paraId="616E8EE8">
      <w:pPr>
        <w:spacing w:line="480" w:lineRule="auto"/>
        <w:rPr>
          <w:rFonts w:ascii="宋体"/>
          <w:bCs/>
          <w:sz w:val="24"/>
          <w:szCs w:val="24"/>
        </w:rPr>
      </w:pPr>
    </w:p>
    <w:p w14:paraId="2B1F8F6A">
      <w:pPr>
        <w:rPr>
          <w:rFonts w:ascii="宋体" w:hAnsi="宋体"/>
          <w:sz w:val="24"/>
          <w:szCs w:val="28"/>
        </w:rPr>
      </w:pPr>
    </w:p>
    <w:p w14:paraId="2A487FD6">
      <w:pPr>
        <w:jc w:val="center"/>
        <w:rPr>
          <w:rFonts w:ascii="宋体" w:hAnsi="宋体"/>
          <w:bCs/>
          <w:sz w:val="24"/>
          <w:lang w:val="zh-CN"/>
        </w:rPr>
      </w:pPr>
      <w:r>
        <w:rPr>
          <w:rFonts w:hint="eastAsia" w:ascii="宋体" w:hAnsi="宋体"/>
          <w:bCs/>
          <w:sz w:val="24"/>
          <w:lang w:val="zh-CN"/>
        </w:rPr>
        <w:t>投标人签名：</w:t>
      </w:r>
    </w:p>
    <w:p w14:paraId="51498F65">
      <w:pPr>
        <w:spacing w:line="360" w:lineRule="auto"/>
        <w:jc w:val="center"/>
        <w:rPr>
          <w:rFonts w:ascii="宋体" w:hAnsi="宋体"/>
          <w:bCs/>
          <w:sz w:val="24"/>
          <w:lang w:val="zh-CN"/>
        </w:rPr>
      </w:pPr>
      <w:r>
        <w:rPr>
          <w:rFonts w:hint="eastAsia" w:ascii="宋体" w:hAnsi="宋体"/>
          <w:bCs/>
          <w:sz w:val="24"/>
          <w:lang w:val="zh-CN"/>
        </w:rPr>
        <w:t>投标人公章：</w:t>
      </w:r>
    </w:p>
    <w:p w14:paraId="52743B96">
      <w:pPr>
        <w:spacing w:line="360" w:lineRule="auto"/>
        <w:jc w:val="center"/>
        <w:rPr>
          <w:rFonts w:ascii="黑体" w:eastAsia="黑体"/>
          <w:bCs/>
          <w:sz w:val="28"/>
          <w:szCs w:val="28"/>
        </w:rPr>
      </w:pPr>
    </w:p>
    <w:p w14:paraId="34BD7F0A">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A29DDD">
                            <w:pPr>
                              <w:jc w:val="left"/>
                              <w:rPr>
                                <w:rFonts w:ascii="黑体" w:eastAsia="黑体"/>
                                <w:sz w:val="32"/>
                                <w:szCs w:val="32"/>
                              </w:rPr>
                            </w:pPr>
                          </w:p>
                          <w:p w14:paraId="56F7B631">
                            <w:pPr>
                              <w:jc w:val="center"/>
                              <w:rPr>
                                <w:rFonts w:ascii="楷体_GB2312" w:eastAsia="楷体_GB2312"/>
                                <w:sz w:val="28"/>
                                <w:szCs w:val="28"/>
                              </w:rPr>
                            </w:pPr>
                            <w:r>
                              <w:rPr>
                                <w:rFonts w:hint="eastAsia" w:ascii="楷体_GB2312" w:eastAsia="楷体_GB2312"/>
                                <w:sz w:val="28"/>
                                <w:szCs w:val="28"/>
                              </w:rPr>
                              <w:t>法定代表人身份证复印件</w:t>
                            </w:r>
                          </w:p>
                          <w:p w14:paraId="72C2490C">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14:paraId="68A29DDD">
                      <w:pPr>
                        <w:jc w:val="left"/>
                        <w:rPr>
                          <w:rFonts w:ascii="黑体" w:eastAsia="黑体"/>
                          <w:sz w:val="32"/>
                          <w:szCs w:val="32"/>
                        </w:rPr>
                      </w:pPr>
                    </w:p>
                    <w:p w14:paraId="56F7B631">
                      <w:pPr>
                        <w:jc w:val="center"/>
                        <w:rPr>
                          <w:rFonts w:ascii="楷体_GB2312" w:eastAsia="楷体_GB2312"/>
                          <w:sz w:val="28"/>
                          <w:szCs w:val="28"/>
                        </w:rPr>
                      </w:pPr>
                      <w:r>
                        <w:rPr>
                          <w:rFonts w:hint="eastAsia" w:ascii="楷体_GB2312" w:eastAsia="楷体_GB2312"/>
                          <w:sz w:val="28"/>
                          <w:szCs w:val="28"/>
                        </w:rPr>
                        <w:t>法定代表人身份证复印件</w:t>
                      </w:r>
                    </w:p>
                    <w:p w14:paraId="72C2490C">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37342B">
                            <w:pPr>
                              <w:jc w:val="left"/>
                              <w:rPr>
                                <w:rFonts w:ascii="黑体" w:eastAsia="黑体"/>
                                <w:sz w:val="32"/>
                                <w:szCs w:val="32"/>
                              </w:rPr>
                            </w:pPr>
                          </w:p>
                          <w:p w14:paraId="4366E7C3">
                            <w:pPr>
                              <w:jc w:val="center"/>
                              <w:rPr>
                                <w:rFonts w:ascii="楷体_GB2312" w:eastAsia="楷体_GB2312"/>
                                <w:sz w:val="28"/>
                                <w:szCs w:val="28"/>
                              </w:rPr>
                            </w:pPr>
                            <w:r>
                              <w:rPr>
                                <w:rFonts w:hint="eastAsia" w:ascii="楷体_GB2312" w:eastAsia="楷体_GB2312"/>
                                <w:sz w:val="28"/>
                                <w:szCs w:val="28"/>
                              </w:rPr>
                              <w:t>法定代表人身份证复印件</w:t>
                            </w:r>
                          </w:p>
                          <w:p w14:paraId="3B09131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0288;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14:paraId="6037342B">
                      <w:pPr>
                        <w:jc w:val="left"/>
                        <w:rPr>
                          <w:rFonts w:ascii="黑体" w:eastAsia="黑体"/>
                          <w:sz w:val="32"/>
                          <w:szCs w:val="32"/>
                        </w:rPr>
                      </w:pPr>
                    </w:p>
                    <w:p w14:paraId="4366E7C3">
                      <w:pPr>
                        <w:jc w:val="center"/>
                        <w:rPr>
                          <w:rFonts w:ascii="楷体_GB2312" w:eastAsia="楷体_GB2312"/>
                          <w:sz w:val="28"/>
                          <w:szCs w:val="28"/>
                        </w:rPr>
                      </w:pPr>
                      <w:r>
                        <w:rPr>
                          <w:rFonts w:hint="eastAsia" w:ascii="楷体_GB2312" w:eastAsia="楷体_GB2312"/>
                          <w:sz w:val="28"/>
                          <w:szCs w:val="28"/>
                        </w:rPr>
                        <w:t>法定代表人身份证复印件</w:t>
                      </w:r>
                    </w:p>
                    <w:p w14:paraId="3B09131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2AFD1A9F">
      <w:pPr>
        <w:spacing w:line="360" w:lineRule="auto"/>
        <w:rPr>
          <w:rFonts w:ascii="黑体" w:eastAsia="黑体"/>
          <w:bCs/>
          <w:sz w:val="28"/>
          <w:szCs w:val="28"/>
        </w:rPr>
      </w:pPr>
    </w:p>
    <w:p w14:paraId="03ED10FD">
      <w:pPr>
        <w:spacing w:line="360" w:lineRule="auto"/>
        <w:jc w:val="center"/>
        <w:rPr>
          <w:rFonts w:ascii="黑体" w:eastAsia="黑体"/>
          <w:bCs/>
          <w:sz w:val="28"/>
          <w:szCs w:val="28"/>
        </w:rPr>
      </w:pPr>
    </w:p>
    <w:p w14:paraId="47151E51">
      <w:pPr>
        <w:spacing w:line="360" w:lineRule="auto"/>
        <w:jc w:val="center"/>
        <w:rPr>
          <w:rFonts w:ascii="黑体" w:eastAsia="黑体"/>
          <w:bCs/>
          <w:sz w:val="28"/>
          <w:szCs w:val="28"/>
        </w:rPr>
      </w:pPr>
    </w:p>
    <w:p w14:paraId="21D61D10">
      <w:pPr>
        <w:spacing w:line="360" w:lineRule="auto"/>
        <w:jc w:val="center"/>
        <w:rPr>
          <w:rFonts w:ascii="黑体" w:eastAsia="黑体"/>
          <w:bCs/>
          <w:sz w:val="28"/>
          <w:szCs w:val="28"/>
        </w:rPr>
      </w:pPr>
    </w:p>
    <w:p w14:paraId="29BFEB97">
      <w:pPr>
        <w:rPr>
          <w:rFonts w:hint="eastAsia" w:ascii="黑体" w:hAnsi="宋体" w:eastAsia="黑体"/>
          <w:bCs/>
          <w:sz w:val="24"/>
          <w:szCs w:val="24"/>
        </w:rPr>
      </w:pPr>
    </w:p>
    <w:p w14:paraId="713C96C7">
      <w:pPr>
        <w:rPr>
          <w:rFonts w:hint="eastAsia" w:ascii="黑体" w:hAnsi="宋体" w:eastAsia="黑体"/>
          <w:bCs/>
          <w:sz w:val="24"/>
          <w:szCs w:val="24"/>
        </w:rPr>
      </w:pPr>
      <w:r>
        <w:rPr>
          <w:rFonts w:hint="eastAsia" w:ascii="黑体" w:hAnsi="宋体" w:eastAsia="黑体"/>
          <w:bCs/>
          <w:sz w:val="24"/>
          <w:szCs w:val="24"/>
        </w:rPr>
        <w:br w:type="page"/>
      </w:r>
    </w:p>
    <w:p w14:paraId="2E66541A">
      <w:pPr>
        <w:rPr>
          <w:rFonts w:ascii="宋体" w:hAnsi="宋体"/>
          <w:sz w:val="24"/>
          <w:szCs w:val="28"/>
        </w:rPr>
      </w:pPr>
      <w:r>
        <w:rPr>
          <w:rFonts w:hint="eastAsia" w:ascii="黑体" w:hAnsi="宋体" w:eastAsia="黑体"/>
          <w:bCs/>
          <w:sz w:val="24"/>
          <w:szCs w:val="24"/>
        </w:rPr>
        <w:t>2、法定代表人授权委托书（格式）：</w:t>
      </w:r>
    </w:p>
    <w:p w14:paraId="306B5955">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5B63A30C">
      <w:pPr>
        <w:tabs>
          <w:tab w:val="left" w:pos="255"/>
        </w:tabs>
        <w:spacing w:line="360" w:lineRule="auto"/>
        <w:ind w:left="5940" w:leftChars="200" w:hanging="5520" w:hangingChars="2300"/>
        <w:rPr>
          <w:rFonts w:ascii="宋体" w:hAnsi="宋体"/>
          <w:sz w:val="24"/>
          <w:szCs w:val="21"/>
        </w:rPr>
      </w:pPr>
      <w:r>
        <w:rPr>
          <w:rFonts w:hint="eastAsia" w:ascii="宋体" w:hAnsi="宋体"/>
          <w:sz w:val="24"/>
          <w:szCs w:val="21"/>
          <w:lang w:val="zh-CN"/>
        </w:rPr>
        <w:t xml:space="preserve">      </w:t>
      </w:r>
      <w:r>
        <w:rPr>
          <w:rFonts w:hint="eastAsia" w:ascii="宋体" w:hAnsi="宋体"/>
          <w:sz w:val="24"/>
          <w:szCs w:val="21"/>
          <w:lang w:val="en-US" w:eastAsia="zh-CN"/>
        </w:rPr>
        <w:t xml:space="preserve">                                        </w:t>
      </w:r>
      <w:r>
        <w:rPr>
          <w:rFonts w:hint="eastAsia" w:ascii="宋体" w:hAnsi="宋体"/>
          <w:sz w:val="24"/>
          <w:szCs w:val="21"/>
          <w:lang w:val="zh-CN"/>
        </w:rPr>
        <w:t>项目编号：YXGYJT202601028（EPC）（代）</w:t>
      </w:r>
      <w:r>
        <w:rPr>
          <w:rFonts w:hint="eastAsia" w:ascii="宋体" w:hAnsi="宋体"/>
          <w:sz w:val="24"/>
          <w:szCs w:val="21"/>
        </w:rPr>
        <w:t xml:space="preserve">                  </w:t>
      </w:r>
      <w:r>
        <w:rPr>
          <w:rFonts w:hint="eastAsia" w:ascii="宋体" w:hAnsi="宋体"/>
          <w:sz w:val="24"/>
          <w:szCs w:val="21"/>
          <w:lang w:val="zh-CN"/>
        </w:rPr>
        <w:t>日期：</w:t>
      </w:r>
    </w:p>
    <w:p w14:paraId="6F055AF2">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bCs/>
          <w:sz w:val="24"/>
          <w:szCs w:val="24"/>
        </w:rPr>
        <w:t>宜兴市公用环保集团有限公司</w:t>
      </w:r>
      <w:r>
        <w:rPr>
          <w:rFonts w:hint="eastAsia" w:ascii="宋体" w:hAnsi="宋体"/>
          <w:color w:val="000000"/>
          <w:sz w:val="24"/>
          <w:szCs w:val="22"/>
          <w:u w:val="none"/>
          <w:lang w:val="en-US" w:eastAsia="zh-CN"/>
        </w:rPr>
        <w:t>材料分公司</w:t>
      </w:r>
      <w:r>
        <w:rPr>
          <w:rFonts w:hint="eastAsia" w:ascii="宋体" w:hAnsi="宋体"/>
          <w:sz w:val="24"/>
          <w:szCs w:val="21"/>
          <w:lang w:val="zh-CN"/>
        </w:rPr>
        <w:t>：</w:t>
      </w:r>
    </w:p>
    <w:p w14:paraId="3F9F6A5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275721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4D6A8D4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5F469D0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2DAF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5188AE3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20CB8E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12AEF8B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4357EB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1EC1D1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724775D">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2837180</wp:posOffset>
                </wp:positionH>
                <wp:positionV relativeFrom="paragraph">
                  <wp:posOffset>26035</wp:posOffset>
                </wp:positionV>
                <wp:extent cx="2780030" cy="1813560"/>
                <wp:effectExtent l="5080" t="4445" r="15240" b="10795"/>
                <wp:wrapNone/>
                <wp:docPr id="8" name="文本框 8"/>
                <wp:cNvGraphicFramePr/>
                <a:graphic xmlns:a="http://schemas.openxmlformats.org/drawingml/2006/main">
                  <a:graphicData uri="http://schemas.microsoft.com/office/word/2010/wordprocessingShape">
                    <wps:wsp>
                      <wps:cNvSpPr txBox="1"/>
                      <wps:spPr>
                        <a:xfrm>
                          <a:off x="0" y="0"/>
                          <a:ext cx="2780030" cy="1813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DB476C">
                            <w:pPr>
                              <w:jc w:val="left"/>
                              <w:rPr>
                                <w:rFonts w:ascii="黑体" w:eastAsia="黑体"/>
                                <w:sz w:val="32"/>
                                <w:szCs w:val="32"/>
                              </w:rPr>
                            </w:pPr>
                          </w:p>
                          <w:p w14:paraId="7E60ED53">
                            <w:pPr>
                              <w:jc w:val="center"/>
                              <w:rPr>
                                <w:rFonts w:ascii="楷体_GB2312" w:eastAsia="楷体_GB2312"/>
                                <w:sz w:val="28"/>
                                <w:szCs w:val="28"/>
                              </w:rPr>
                            </w:pPr>
                            <w:r>
                              <w:rPr>
                                <w:rFonts w:hint="eastAsia" w:ascii="楷体_GB2312" w:eastAsia="楷体_GB2312"/>
                                <w:sz w:val="28"/>
                                <w:szCs w:val="28"/>
                              </w:rPr>
                              <w:t>被授权代表身份证复印件</w:t>
                            </w:r>
                          </w:p>
                          <w:p w14:paraId="297A64B1">
                            <w:pPr>
                              <w:jc w:val="center"/>
                              <w:rPr>
                                <w:rFonts w:ascii="楷体_GB2312" w:eastAsia="楷体_GB2312"/>
                                <w:sz w:val="28"/>
                                <w:szCs w:val="28"/>
                              </w:rPr>
                            </w:pPr>
                            <w:r>
                              <w:rPr>
                                <w:rFonts w:hint="eastAsia" w:ascii="楷体_GB2312" w:eastAsia="楷体_GB2312"/>
                                <w:sz w:val="28"/>
                                <w:szCs w:val="28"/>
                              </w:rPr>
                              <w:t>反面</w:t>
                            </w:r>
                          </w:p>
                          <w:p w14:paraId="19CFBBAB">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23.4pt;margin-top:2.05pt;height:142.8pt;width:218.9pt;z-index:251663360;mso-width-relative:page;mso-height-relative:page;" fillcolor="#FFFFFF" filled="t" stroked="t" coordsize="21600,21600" o:gfxdata="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nscr2AAA&#10;AAkBAAAPAAAAAAAAAAEAIAAAACIAAABkcnMvZG93bnJldi54bWxQSwECFAAUAAAACACHTuJASrla&#10;uR4CAABTBAAADgAAAAAAAAABACAAAAAnAQAAZHJzL2Uyb0RvYy54bWxQSwUGAAAAAAYABgBZAQAA&#10;twUAAAAA&#10;">
                <v:fill on="t" focussize="0,0"/>
                <v:stroke color="#000000" joinstyle="miter"/>
                <v:imagedata o:title=""/>
                <o:lock v:ext="edit" aspectratio="f"/>
                <v:textbox>
                  <w:txbxContent>
                    <w:p w14:paraId="0DDB476C">
                      <w:pPr>
                        <w:jc w:val="left"/>
                        <w:rPr>
                          <w:rFonts w:ascii="黑体" w:eastAsia="黑体"/>
                          <w:sz w:val="32"/>
                          <w:szCs w:val="32"/>
                        </w:rPr>
                      </w:pPr>
                    </w:p>
                    <w:p w14:paraId="7E60ED53">
                      <w:pPr>
                        <w:jc w:val="center"/>
                        <w:rPr>
                          <w:rFonts w:ascii="楷体_GB2312" w:eastAsia="楷体_GB2312"/>
                          <w:sz w:val="28"/>
                          <w:szCs w:val="28"/>
                        </w:rPr>
                      </w:pPr>
                      <w:r>
                        <w:rPr>
                          <w:rFonts w:hint="eastAsia" w:ascii="楷体_GB2312" w:eastAsia="楷体_GB2312"/>
                          <w:sz w:val="28"/>
                          <w:szCs w:val="28"/>
                        </w:rPr>
                        <w:t>被授权代表身份证复印件</w:t>
                      </w:r>
                    </w:p>
                    <w:p w14:paraId="297A64B1">
                      <w:pPr>
                        <w:jc w:val="center"/>
                        <w:rPr>
                          <w:rFonts w:ascii="楷体_GB2312" w:eastAsia="楷体_GB2312"/>
                          <w:sz w:val="28"/>
                          <w:szCs w:val="28"/>
                        </w:rPr>
                      </w:pPr>
                      <w:r>
                        <w:rPr>
                          <w:rFonts w:hint="eastAsia" w:ascii="楷体_GB2312" w:eastAsia="楷体_GB2312"/>
                          <w:sz w:val="28"/>
                          <w:szCs w:val="28"/>
                        </w:rPr>
                        <w:t>反面</w:t>
                      </w:r>
                    </w:p>
                    <w:p w14:paraId="19CFBBAB">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29210</wp:posOffset>
                </wp:positionV>
                <wp:extent cx="2704465" cy="1833245"/>
                <wp:effectExtent l="5080" t="4445" r="14605" b="10160"/>
                <wp:wrapNone/>
                <wp:docPr id="5" name="文本框 5"/>
                <wp:cNvGraphicFramePr/>
                <a:graphic xmlns:a="http://schemas.openxmlformats.org/drawingml/2006/main">
                  <a:graphicData uri="http://schemas.microsoft.com/office/word/2010/wordprocessingShape">
                    <wps:wsp>
                      <wps:cNvSpPr txBox="1"/>
                      <wps:spPr>
                        <a:xfrm>
                          <a:off x="0" y="0"/>
                          <a:ext cx="2704465" cy="183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50522A">
                            <w:pPr>
                              <w:jc w:val="left"/>
                              <w:rPr>
                                <w:rFonts w:ascii="黑体" w:eastAsia="黑体"/>
                                <w:sz w:val="32"/>
                                <w:szCs w:val="32"/>
                              </w:rPr>
                            </w:pPr>
                          </w:p>
                          <w:p w14:paraId="7C52905A">
                            <w:pPr>
                              <w:jc w:val="center"/>
                              <w:rPr>
                                <w:rFonts w:ascii="楷体_GB2312" w:eastAsia="楷体_GB2312"/>
                                <w:sz w:val="28"/>
                                <w:szCs w:val="28"/>
                              </w:rPr>
                            </w:pPr>
                            <w:r>
                              <w:rPr>
                                <w:rFonts w:hint="eastAsia" w:ascii="楷体_GB2312" w:eastAsia="楷体_GB2312"/>
                                <w:sz w:val="28"/>
                                <w:szCs w:val="28"/>
                              </w:rPr>
                              <w:t>被授权代表身份证复印件</w:t>
                            </w:r>
                          </w:p>
                          <w:p w14:paraId="33FD55CA">
                            <w:pPr>
                              <w:jc w:val="center"/>
                              <w:rPr>
                                <w:rFonts w:ascii="楷体_GB2312" w:eastAsia="楷体_GB2312"/>
                                <w:sz w:val="28"/>
                                <w:szCs w:val="28"/>
                              </w:rPr>
                            </w:pPr>
                            <w:r>
                              <w:rPr>
                                <w:rFonts w:hint="eastAsia" w:ascii="楷体_GB2312" w:eastAsia="楷体_GB2312"/>
                                <w:sz w:val="28"/>
                                <w:szCs w:val="28"/>
                              </w:rPr>
                              <w:t>正面</w:t>
                            </w:r>
                          </w:p>
                          <w:p w14:paraId="4C344EDD">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44.35pt;width:212.95pt;z-index:251662336;mso-width-relative:page;mso-height-relative:page;" fillcolor="#FFFFFF" filled="t" stroked="t" coordsize="21600,21600" o:gfxdata="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Bpg52AAA&#10;AAgBAAAPAAAAAAAAAAEAIAAAACIAAABkcnMvZG93bnJldi54bWxQSwECFAAUAAAACACHTuJASCQP&#10;/R4CAABTBAAADgAAAAAAAAABACAAAAAnAQAAZHJzL2Uyb0RvYy54bWxQSwUGAAAAAAYABgBZAQAA&#10;twUAAAAA&#10;">
                <v:fill on="t" focussize="0,0"/>
                <v:stroke color="#000000" joinstyle="miter"/>
                <v:imagedata o:title=""/>
                <o:lock v:ext="edit" aspectratio="f"/>
                <v:textbox>
                  <w:txbxContent>
                    <w:p w14:paraId="2C50522A">
                      <w:pPr>
                        <w:jc w:val="left"/>
                        <w:rPr>
                          <w:rFonts w:ascii="黑体" w:eastAsia="黑体"/>
                          <w:sz w:val="32"/>
                          <w:szCs w:val="32"/>
                        </w:rPr>
                      </w:pPr>
                    </w:p>
                    <w:p w14:paraId="7C52905A">
                      <w:pPr>
                        <w:jc w:val="center"/>
                        <w:rPr>
                          <w:rFonts w:ascii="楷体_GB2312" w:eastAsia="楷体_GB2312"/>
                          <w:sz w:val="28"/>
                          <w:szCs w:val="28"/>
                        </w:rPr>
                      </w:pPr>
                      <w:r>
                        <w:rPr>
                          <w:rFonts w:hint="eastAsia" w:ascii="楷体_GB2312" w:eastAsia="楷体_GB2312"/>
                          <w:sz w:val="28"/>
                          <w:szCs w:val="28"/>
                        </w:rPr>
                        <w:t>被授权代表身份证复印件</w:t>
                      </w:r>
                    </w:p>
                    <w:p w14:paraId="33FD55CA">
                      <w:pPr>
                        <w:jc w:val="center"/>
                        <w:rPr>
                          <w:rFonts w:ascii="楷体_GB2312" w:eastAsia="楷体_GB2312"/>
                          <w:sz w:val="28"/>
                          <w:szCs w:val="28"/>
                        </w:rPr>
                      </w:pPr>
                      <w:r>
                        <w:rPr>
                          <w:rFonts w:hint="eastAsia" w:ascii="楷体_GB2312" w:eastAsia="楷体_GB2312"/>
                          <w:sz w:val="28"/>
                          <w:szCs w:val="28"/>
                        </w:rPr>
                        <w:t>正面</w:t>
                      </w:r>
                    </w:p>
                    <w:p w14:paraId="4C344EDD">
                      <w:pPr>
                        <w:jc w:val="center"/>
                        <w:rPr>
                          <w:rFonts w:ascii="楷体_GB2312" w:eastAsia="楷体_GB2312"/>
                          <w:sz w:val="28"/>
                          <w:szCs w:val="28"/>
                        </w:rPr>
                      </w:pPr>
                    </w:p>
                  </w:txbxContent>
                </v:textbox>
              </v:shape>
            </w:pict>
          </mc:Fallback>
        </mc:AlternateContent>
      </w:r>
    </w:p>
    <w:p w14:paraId="55304B65">
      <w:pPr>
        <w:spacing w:line="360" w:lineRule="auto"/>
        <w:rPr>
          <w:rFonts w:ascii="黑体" w:eastAsia="黑体"/>
          <w:bCs/>
          <w:sz w:val="28"/>
          <w:szCs w:val="28"/>
        </w:rPr>
      </w:pPr>
    </w:p>
    <w:p w14:paraId="1B31A191">
      <w:pPr>
        <w:spacing w:line="360" w:lineRule="auto"/>
        <w:jc w:val="center"/>
        <w:rPr>
          <w:rFonts w:ascii="黑体" w:eastAsia="黑体"/>
          <w:bCs/>
          <w:sz w:val="28"/>
          <w:szCs w:val="28"/>
        </w:rPr>
      </w:pPr>
    </w:p>
    <w:p w14:paraId="0EF6F4AE">
      <w:pPr>
        <w:spacing w:line="360" w:lineRule="auto"/>
        <w:jc w:val="center"/>
        <w:rPr>
          <w:rFonts w:ascii="黑体" w:eastAsia="黑体"/>
          <w:bCs/>
          <w:sz w:val="28"/>
          <w:szCs w:val="28"/>
        </w:rPr>
      </w:pPr>
    </w:p>
    <w:p w14:paraId="06AAB08E">
      <w:pPr>
        <w:spacing w:line="360" w:lineRule="auto"/>
        <w:ind w:firstLine="480" w:firstLineChars="200"/>
        <w:rPr>
          <w:rFonts w:ascii="黑体" w:hAnsi="宋体" w:eastAsia="黑体"/>
          <w:bCs/>
          <w:sz w:val="24"/>
          <w:szCs w:val="24"/>
        </w:rPr>
      </w:pPr>
    </w:p>
    <w:p w14:paraId="0FD9DF2B">
      <w:pPr>
        <w:rPr>
          <w:rFonts w:ascii="黑体" w:hAnsi="宋体" w:eastAsia="黑体"/>
          <w:bCs/>
          <w:sz w:val="24"/>
          <w:szCs w:val="24"/>
        </w:rPr>
      </w:pPr>
    </w:p>
    <w:bookmarkEnd w:id="84"/>
    <w:p w14:paraId="3690C715">
      <w:pPr>
        <w:tabs>
          <w:tab w:val="left" w:pos="255"/>
        </w:tabs>
        <w:spacing w:line="360" w:lineRule="auto"/>
        <w:jc w:val="left"/>
        <w:rPr>
          <w:rFonts w:hint="eastAsia" w:ascii="宋体" w:hAnsi="宋体"/>
          <w:sz w:val="24"/>
          <w:szCs w:val="21"/>
          <w:lang w:val="zh-CN"/>
        </w:rPr>
      </w:pPr>
      <w:r>
        <w:rPr>
          <w:rFonts w:hint="eastAsia" w:ascii="宋体" w:hAnsi="宋体"/>
          <w:sz w:val="24"/>
          <w:szCs w:val="21"/>
          <w:lang w:val="zh-CN"/>
        </w:rPr>
        <w:t>投标人为本项目被授权代表在近三个月内（不含投标当月）任意一个月缴纳的社保证明复印件（提供相关主管部门证明或银行代扣证明，法定代表人亲自参加报价的除外）；</w:t>
      </w:r>
    </w:p>
    <w:p w14:paraId="6F497299">
      <w:pPr>
        <w:tabs>
          <w:tab w:val="left" w:pos="255"/>
        </w:tabs>
        <w:spacing w:line="360" w:lineRule="auto"/>
        <w:jc w:val="left"/>
        <w:rPr>
          <w:rFonts w:ascii="宋体" w:hAnsi="宋体"/>
          <w:sz w:val="24"/>
          <w:szCs w:val="21"/>
          <w:lang w:val="zh-CN"/>
        </w:rPr>
      </w:pPr>
    </w:p>
    <w:p w14:paraId="29935679">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2FBFA352">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4620D92E">
      <w:pPr>
        <w:spacing w:line="480" w:lineRule="auto"/>
        <w:ind w:left="5460" w:leftChars="0" w:firstLine="420" w:firstLineChars="0"/>
        <w:rPr>
          <w:rFonts w:hint="eastAsia" w:ascii="宋体" w:eastAsia="宋体"/>
          <w:bCs/>
          <w:sz w:val="24"/>
          <w:szCs w:val="24"/>
          <w:lang w:eastAsia="zh-CN"/>
        </w:rPr>
      </w:pPr>
      <w:r>
        <w:rPr>
          <w:rFonts w:hint="eastAsia" w:ascii="宋体" w:hAnsi="宋体"/>
          <w:bCs/>
          <w:sz w:val="24"/>
          <w:szCs w:val="24"/>
        </w:rPr>
        <w:t>项目编号：</w:t>
      </w:r>
      <w:r>
        <w:rPr>
          <w:rFonts w:hint="eastAsia" w:ascii="宋体" w:hAnsi="宋体" w:cs="Times New Roman"/>
          <w:bCs/>
          <w:sz w:val="24"/>
          <w:szCs w:val="24"/>
          <w:lang w:eastAsia="zh-CN"/>
        </w:rPr>
        <w:t>YXGYJT202601028（EPC）（代）</w:t>
      </w:r>
    </w:p>
    <w:p w14:paraId="09F86700">
      <w:pPr>
        <w:spacing w:line="480" w:lineRule="auto"/>
        <w:ind w:left="5460" w:leftChars="0" w:firstLine="420" w:firstLineChars="0"/>
        <w:rPr>
          <w:rFonts w:ascii="宋体"/>
          <w:bCs/>
          <w:sz w:val="24"/>
          <w:szCs w:val="24"/>
        </w:rPr>
      </w:pPr>
      <w:r>
        <w:rPr>
          <w:rFonts w:hint="eastAsia" w:ascii="宋体" w:hAnsi="宋体"/>
          <w:bCs/>
          <w:sz w:val="24"/>
          <w:szCs w:val="24"/>
        </w:rPr>
        <w:t>日期：</w:t>
      </w:r>
    </w:p>
    <w:p w14:paraId="75813F24">
      <w:pPr>
        <w:spacing w:line="360" w:lineRule="auto"/>
        <w:rPr>
          <w:rFonts w:ascii="宋体" w:hAnsi="宋体"/>
          <w:bCs/>
          <w:sz w:val="24"/>
          <w:szCs w:val="24"/>
        </w:rPr>
      </w:pPr>
      <w:r>
        <w:rPr>
          <w:rFonts w:hint="eastAsia" w:ascii="宋体" w:hAnsi="宋体"/>
          <w:sz w:val="24"/>
          <w:szCs w:val="24"/>
        </w:rPr>
        <w:t>投标人应按以下顺序提供相关材料复印件，</w:t>
      </w:r>
    </w:p>
    <w:p w14:paraId="496D99CD">
      <w:pPr>
        <w:spacing w:line="360" w:lineRule="auto"/>
        <w:ind w:firstLine="480" w:firstLineChars="200"/>
        <w:jc w:val="left"/>
        <w:rPr>
          <w:rFonts w:ascii="宋体" w:hAnsi="宋体"/>
          <w:bCs/>
          <w:sz w:val="24"/>
        </w:rPr>
      </w:pPr>
      <w:r>
        <w:rPr>
          <w:rFonts w:hint="eastAsia" w:ascii="宋体" w:hAnsi="宋体"/>
          <w:bCs/>
          <w:sz w:val="24"/>
        </w:rPr>
        <w:t>①投标人具有独立承担民事责任能力的供应商营业执照或法人（登记）证书</w:t>
      </w:r>
      <w:r>
        <w:rPr>
          <w:rFonts w:hint="eastAsia" w:ascii="宋体" w:hAnsi="宋体"/>
          <w:b/>
          <w:bCs w:val="0"/>
          <w:sz w:val="24"/>
        </w:rPr>
        <w:t>（投标时必须提交相应原件或公证件）；</w:t>
      </w:r>
    </w:p>
    <w:p w14:paraId="3772B863">
      <w:pPr>
        <w:spacing w:line="360" w:lineRule="auto"/>
        <w:ind w:firstLine="480" w:firstLineChars="200"/>
        <w:jc w:val="left"/>
        <w:rPr>
          <w:rFonts w:hint="eastAsia" w:ascii="宋体" w:hAnsi="宋体"/>
          <w:bCs/>
          <w:sz w:val="24"/>
          <w:lang w:val="en-US" w:eastAsia="zh-CN"/>
        </w:rPr>
      </w:pPr>
      <w:r>
        <w:rPr>
          <w:rFonts w:hint="eastAsia" w:ascii="宋体" w:hAnsi="宋体"/>
          <w:bCs/>
          <w:sz w:val="24"/>
          <w:lang w:val="en-US" w:eastAsia="zh-CN"/>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02BED3BD">
      <w:pPr>
        <w:spacing w:line="360" w:lineRule="auto"/>
        <w:ind w:firstLine="480" w:firstLineChars="200"/>
        <w:jc w:val="left"/>
        <w:rPr>
          <w:rFonts w:ascii="宋体" w:hAnsi="宋体"/>
          <w:bCs/>
          <w:sz w:val="24"/>
          <w:highlight w:val="none"/>
        </w:rPr>
      </w:pPr>
      <w:r>
        <w:rPr>
          <w:rFonts w:hint="eastAsia" w:ascii="宋体" w:hAnsi="宋体"/>
          <w:bCs/>
          <w:sz w:val="24"/>
          <w:lang w:val="en-US" w:eastAsia="zh-CN"/>
        </w:rPr>
        <w:t>③</w:t>
      </w:r>
      <w:r>
        <w:rPr>
          <w:rFonts w:hint="eastAsia" w:ascii="宋体" w:hAnsi="宋体"/>
          <w:bCs/>
          <w:sz w:val="24"/>
          <w:highlight w:val="none"/>
        </w:rPr>
        <w:t>投标人依法缴纳近十二个月中任意一个月份税收的相关材料（提供相关主管部门证明或银行代扣证明）复印件；</w:t>
      </w:r>
    </w:p>
    <w:p w14:paraId="3097C231">
      <w:pPr>
        <w:spacing w:line="360" w:lineRule="auto"/>
        <w:ind w:firstLine="480" w:firstLineChars="200"/>
        <w:jc w:val="left"/>
        <w:rPr>
          <w:rFonts w:ascii="宋体" w:hAnsi="宋体"/>
          <w:bCs/>
          <w:sz w:val="24"/>
          <w:highlight w:val="none"/>
        </w:rPr>
      </w:pPr>
      <w:r>
        <w:rPr>
          <w:rFonts w:hint="eastAsia" w:ascii="宋体" w:hAnsi="宋体"/>
          <w:bCs/>
          <w:sz w:val="24"/>
          <w:highlight w:val="none"/>
          <w:lang w:val="en-US" w:eastAsia="zh-CN"/>
        </w:rPr>
        <w:t>④</w:t>
      </w:r>
      <w:r>
        <w:rPr>
          <w:rFonts w:hint="eastAsia" w:ascii="宋体" w:hAnsi="宋体"/>
          <w:bCs/>
          <w:sz w:val="24"/>
          <w:highlight w:val="none"/>
        </w:rPr>
        <w:t>投标人依法缴纳近十二个月中任意一个月份社会保障资金的相关材料（提供相关主管部门证明或银行代扣证明）复印件；</w:t>
      </w:r>
    </w:p>
    <w:p w14:paraId="1F331B33">
      <w:pPr>
        <w:spacing w:line="360" w:lineRule="auto"/>
        <w:ind w:firstLine="480" w:firstLineChars="200"/>
        <w:jc w:val="left"/>
        <w:rPr>
          <w:rFonts w:ascii="宋体" w:hAnsi="宋体"/>
          <w:bCs/>
          <w:sz w:val="24"/>
          <w:highlight w:val="none"/>
        </w:rPr>
      </w:pPr>
      <w:r>
        <w:rPr>
          <w:rFonts w:hint="eastAsia" w:ascii="宋体" w:hAnsi="宋体"/>
          <w:bCs/>
          <w:sz w:val="24"/>
          <w:highlight w:val="none"/>
          <w:lang w:val="en-US" w:eastAsia="zh-CN"/>
        </w:rPr>
        <w:t>⑤</w:t>
      </w:r>
      <w:r>
        <w:rPr>
          <w:rFonts w:hint="eastAsia" w:ascii="宋体" w:hAnsi="宋体"/>
          <w:bCs/>
          <w:sz w:val="24"/>
          <w:highlight w:val="none"/>
        </w:rPr>
        <w:t>投标保证金交纳证明复印件（银行转账）；</w:t>
      </w:r>
    </w:p>
    <w:p w14:paraId="62E0C1C0">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⑥</w:t>
      </w:r>
      <w:r>
        <w:rPr>
          <w:rFonts w:hint="eastAsia" w:ascii="宋体" w:hAnsi="宋体"/>
          <w:bCs/>
          <w:sz w:val="24"/>
          <w:highlight w:val="none"/>
        </w:rPr>
        <w:t>良好的信用记录：投标截止时间之前，未被“信用中国”网站（www.creditchina.gov.cn）列入失信被执行人、重大税收违法案件当事人名单、严重失信主体名单，未被“中国政府采购网”网站（www.ccgp.gov.cn）列入政府采购严重违法失信行为记录名单；（若投标人企业信息已录入以上网站的，无需提供相关证明材料；若投标人企业信息未录入以上网站的，须在投标文件中提供无不良信用记录承诺书）；</w:t>
      </w:r>
    </w:p>
    <w:p w14:paraId="2D4B4961">
      <w:pPr>
        <w:tabs>
          <w:tab w:val="left" w:pos="0"/>
          <w:tab w:val="left" w:pos="255"/>
        </w:tabs>
        <w:spacing w:line="360" w:lineRule="auto"/>
        <w:ind w:firstLine="480" w:firstLineChars="200"/>
        <w:rPr>
          <w:rFonts w:hint="eastAsia" w:ascii="宋体" w:hAnsi="宋体"/>
          <w:bCs/>
          <w:sz w:val="24"/>
          <w:highlight w:val="none"/>
          <w:lang w:val="en-US" w:eastAsia="zh-CN"/>
        </w:rPr>
      </w:pPr>
      <w:r>
        <w:rPr>
          <w:rFonts w:hint="eastAsia" w:ascii="宋体" w:hAnsi="宋体"/>
          <w:bCs/>
          <w:sz w:val="24"/>
          <w:highlight w:val="none"/>
          <w:lang w:val="en-US" w:eastAsia="zh-CN"/>
        </w:rPr>
        <w:t>⑦投标人2023年1月1日以来（以发票开具时间为准）有过类似产品的销售业绩。</w:t>
      </w:r>
      <w:r>
        <w:rPr>
          <w:rFonts w:hint="eastAsia" w:ascii="宋体" w:hAnsi="宋体"/>
          <w:b/>
          <w:bCs w:val="0"/>
          <w:sz w:val="24"/>
          <w:highlight w:val="none"/>
          <w:lang w:val="en-US" w:eastAsia="zh-CN"/>
        </w:rPr>
        <w:t>（需提供以上产品的销售合同复印件及与合同对应的任意一次已收款的发票复印件加盖供应商公章放入投标文件中，投标时合同原件、发票原件（电子件）随投标文件一并递交）</w:t>
      </w:r>
    </w:p>
    <w:p w14:paraId="3A4E5CC6">
      <w:pPr>
        <w:tabs>
          <w:tab w:val="left" w:pos="0"/>
          <w:tab w:val="left" w:pos="255"/>
        </w:tabs>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rPr>
        <w:t>注：以上“近十二个月</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近三个月</w:t>
      </w:r>
      <w:r>
        <w:rPr>
          <w:rFonts w:hint="eastAsia" w:ascii="宋体" w:hAnsi="宋体"/>
          <w:b/>
          <w:bCs/>
          <w:sz w:val="24"/>
          <w:szCs w:val="24"/>
          <w:highlight w:val="none"/>
        </w:rPr>
        <w:t>”</w:t>
      </w:r>
      <w:r>
        <w:rPr>
          <w:rFonts w:hint="eastAsia" w:ascii="宋体" w:hAnsi="宋体"/>
          <w:b/>
          <w:bCs/>
          <w:sz w:val="24"/>
          <w:szCs w:val="24"/>
          <w:highlight w:val="none"/>
          <w:lang w:val="en-US" w:eastAsia="zh-CN"/>
        </w:rPr>
        <w:t>均</w:t>
      </w:r>
      <w:r>
        <w:rPr>
          <w:rFonts w:hint="eastAsia" w:ascii="宋体" w:hAnsi="宋体"/>
          <w:b/>
          <w:bCs/>
          <w:sz w:val="24"/>
          <w:szCs w:val="24"/>
          <w:highlight w:val="none"/>
        </w:rPr>
        <w:t>指投标截止日之前（不含投标当月）。</w:t>
      </w:r>
    </w:p>
    <w:p w14:paraId="1F146981">
      <w:pPr>
        <w:spacing w:line="360" w:lineRule="auto"/>
        <w:jc w:val="both"/>
        <w:rPr>
          <w:rFonts w:hint="eastAsia" w:ascii="宋体" w:hAnsi="宋体"/>
          <w:bCs/>
          <w:sz w:val="24"/>
          <w:lang w:val="en-US" w:eastAsia="zh-CN"/>
        </w:rPr>
      </w:pPr>
      <w:r>
        <w:rPr>
          <w:rFonts w:hint="eastAsia" w:ascii="宋体" w:hAnsi="宋体"/>
          <w:bCs/>
          <w:sz w:val="24"/>
          <w:lang w:val="en-US" w:eastAsia="zh-CN"/>
        </w:rPr>
        <w:t xml:space="preserve">             </w:t>
      </w:r>
    </w:p>
    <w:p w14:paraId="01D155DB">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投标人签名：</w:t>
      </w:r>
    </w:p>
    <w:p w14:paraId="62F3EEB0">
      <w:pPr>
        <w:spacing w:line="360" w:lineRule="auto"/>
        <w:jc w:val="center"/>
        <w:rPr>
          <w:rFonts w:hint="eastAsia" w:ascii="黑体" w:hAnsi="宋体" w:eastAsia="黑体"/>
          <w:bCs/>
          <w:sz w:val="28"/>
          <w:szCs w:val="28"/>
        </w:rPr>
      </w:pPr>
      <w:r>
        <w:rPr>
          <w:rFonts w:hint="eastAsia" w:ascii="宋体" w:hAnsi="宋体"/>
          <w:bCs/>
          <w:sz w:val="24"/>
          <w:lang w:val="en-US" w:eastAsia="zh-CN"/>
        </w:rPr>
        <w:t xml:space="preserve">                   </w:t>
      </w:r>
      <w:r>
        <w:rPr>
          <w:rFonts w:hint="eastAsia" w:ascii="宋体" w:hAnsi="宋体"/>
          <w:bCs/>
          <w:sz w:val="24"/>
          <w:lang w:val="zh-CN"/>
        </w:rPr>
        <w:t>投标人公章：</w:t>
      </w:r>
      <w:bookmarkStart w:id="101" w:name="OLE_LINK11"/>
      <w:r>
        <w:rPr>
          <w:rFonts w:hint="eastAsia" w:ascii="黑体" w:hAnsi="宋体" w:eastAsia="黑体"/>
          <w:bCs/>
          <w:sz w:val="28"/>
          <w:szCs w:val="28"/>
        </w:rPr>
        <w:br w:type="page"/>
      </w:r>
    </w:p>
    <w:p w14:paraId="32913369">
      <w:pPr>
        <w:rPr>
          <w:rFonts w:ascii="黑体" w:hAnsi="宋体" w:eastAsia="黑体"/>
          <w:bCs/>
          <w:sz w:val="28"/>
          <w:szCs w:val="28"/>
        </w:rPr>
      </w:pPr>
      <w:r>
        <w:rPr>
          <w:rFonts w:hint="eastAsia" w:ascii="黑体" w:hAnsi="宋体" w:eastAsia="黑体"/>
          <w:bCs/>
          <w:sz w:val="28"/>
          <w:szCs w:val="28"/>
        </w:rPr>
        <w:t>（四）技术参数及相关要求偏离表（格式）：</w:t>
      </w:r>
    </w:p>
    <w:p w14:paraId="4792B08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60090982">
      <w:pPr>
        <w:tabs>
          <w:tab w:val="left" w:pos="255"/>
        </w:tabs>
        <w:spacing w:beforeLines="50" w:afterLines="50" w:line="360" w:lineRule="auto"/>
        <w:rPr>
          <w:rFonts w:ascii="宋体" w:hAnsi="宋体"/>
          <w:sz w:val="24"/>
          <w:szCs w:val="21"/>
          <w:lang w:val="zh-CN"/>
        </w:rPr>
      </w:pPr>
      <w:r>
        <w:rPr>
          <w:rFonts w:hint="eastAsia" w:ascii="宋体" w:hAnsi="宋体"/>
          <w:sz w:val="24"/>
          <w:szCs w:val="21"/>
          <w:lang w:val="zh-CN"/>
        </w:rPr>
        <w:t xml:space="preserve">投标人名称（盖章）：               </w:t>
      </w:r>
      <w:r>
        <w:rPr>
          <w:rFonts w:hint="eastAsia" w:ascii="宋体" w:hAnsi="宋体"/>
          <w:sz w:val="24"/>
          <w:szCs w:val="21"/>
          <w:lang w:val="en-US" w:eastAsia="zh-CN"/>
        </w:rPr>
        <w:t xml:space="preserve">             </w:t>
      </w:r>
      <w:r>
        <w:rPr>
          <w:rFonts w:hint="eastAsia" w:ascii="宋体" w:hAnsi="宋体"/>
          <w:sz w:val="24"/>
          <w:szCs w:val="21"/>
          <w:lang w:val="zh-CN"/>
        </w:rPr>
        <w:t>项目编号：YXGYJT202601028（EPC）（代）</w:t>
      </w:r>
    </w:p>
    <w:tbl>
      <w:tblPr>
        <w:tblStyle w:val="7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4"/>
        <w:gridCol w:w="2316"/>
        <w:gridCol w:w="2328"/>
        <w:gridCol w:w="1970"/>
      </w:tblGrid>
      <w:tr w14:paraId="2B3C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752D11C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4" w:type="dxa"/>
            <w:vAlign w:val="center"/>
          </w:tcPr>
          <w:p w14:paraId="1C117B5E">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6" w:type="dxa"/>
            <w:vAlign w:val="center"/>
          </w:tcPr>
          <w:p w14:paraId="439FF3E3">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8" w:type="dxa"/>
            <w:vAlign w:val="center"/>
          </w:tcPr>
          <w:p w14:paraId="2764EF2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70" w:type="dxa"/>
            <w:vAlign w:val="center"/>
          </w:tcPr>
          <w:p w14:paraId="6EB7B0B8">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4C43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3FBAC295">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5FFBBF1D">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3D68762E">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708117E9">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02954627">
            <w:pPr>
              <w:tabs>
                <w:tab w:val="left" w:pos="255"/>
              </w:tabs>
              <w:spacing w:line="360" w:lineRule="auto"/>
              <w:ind w:left="420" w:leftChars="200" w:firstLine="480" w:firstLineChars="200"/>
              <w:rPr>
                <w:rFonts w:ascii="宋体" w:hAnsi="宋体"/>
                <w:sz w:val="24"/>
                <w:szCs w:val="21"/>
                <w:lang w:val="zh-CN"/>
              </w:rPr>
            </w:pPr>
          </w:p>
        </w:tc>
      </w:tr>
      <w:tr w14:paraId="1BDE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49DA6A10">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5B48B03A">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32B42D4C">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60E7F271">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4ADB367B">
            <w:pPr>
              <w:tabs>
                <w:tab w:val="left" w:pos="255"/>
              </w:tabs>
              <w:spacing w:line="360" w:lineRule="auto"/>
              <w:ind w:left="420" w:leftChars="200" w:firstLine="480" w:firstLineChars="200"/>
              <w:rPr>
                <w:rFonts w:ascii="宋体" w:hAnsi="宋体"/>
                <w:sz w:val="24"/>
                <w:szCs w:val="21"/>
                <w:lang w:val="zh-CN"/>
              </w:rPr>
            </w:pPr>
          </w:p>
        </w:tc>
      </w:tr>
      <w:tr w14:paraId="003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08EB75D4">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70738CCF">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4963CB29">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5EADE816">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7379A728">
            <w:pPr>
              <w:tabs>
                <w:tab w:val="left" w:pos="255"/>
              </w:tabs>
              <w:spacing w:line="360" w:lineRule="auto"/>
              <w:ind w:left="420" w:leftChars="200" w:firstLine="480" w:firstLineChars="200"/>
              <w:rPr>
                <w:rFonts w:ascii="宋体" w:hAnsi="宋体"/>
                <w:sz w:val="24"/>
                <w:szCs w:val="21"/>
                <w:lang w:val="zh-CN"/>
              </w:rPr>
            </w:pPr>
          </w:p>
        </w:tc>
      </w:tr>
      <w:tr w14:paraId="46C3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0D55246E">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45BFA0D1">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7EBC3524">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48661BCF">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3476F2A9">
            <w:pPr>
              <w:tabs>
                <w:tab w:val="left" w:pos="255"/>
              </w:tabs>
              <w:spacing w:line="360" w:lineRule="auto"/>
              <w:ind w:left="420" w:leftChars="200" w:firstLine="480" w:firstLineChars="200"/>
              <w:rPr>
                <w:rFonts w:ascii="宋体" w:hAnsi="宋体"/>
                <w:sz w:val="24"/>
                <w:szCs w:val="21"/>
                <w:lang w:val="zh-CN"/>
              </w:rPr>
            </w:pPr>
          </w:p>
        </w:tc>
      </w:tr>
      <w:tr w14:paraId="143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01CA7C71">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7082A8E3">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6F874E1E">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257D0898">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568A3002">
            <w:pPr>
              <w:tabs>
                <w:tab w:val="left" w:pos="255"/>
              </w:tabs>
              <w:spacing w:line="360" w:lineRule="auto"/>
              <w:ind w:left="420" w:leftChars="200" w:firstLine="480" w:firstLineChars="200"/>
              <w:rPr>
                <w:rFonts w:ascii="宋体" w:hAnsi="宋体"/>
                <w:sz w:val="24"/>
                <w:szCs w:val="21"/>
                <w:lang w:val="zh-CN"/>
              </w:rPr>
            </w:pPr>
          </w:p>
        </w:tc>
      </w:tr>
      <w:tr w14:paraId="7BAC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3F33FBD3">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37F5EFA1">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51F4E75D">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7D442411">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615A8EFD">
            <w:pPr>
              <w:tabs>
                <w:tab w:val="left" w:pos="255"/>
              </w:tabs>
              <w:spacing w:line="360" w:lineRule="auto"/>
              <w:ind w:left="420" w:leftChars="200" w:firstLine="480" w:firstLineChars="200"/>
              <w:rPr>
                <w:rFonts w:ascii="宋体" w:hAnsi="宋体"/>
                <w:sz w:val="24"/>
                <w:szCs w:val="21"/>
                <w:lang w:val="zh-CN"/>
              </w:rPr>
            </w:pPr>
          </w:p>
        </w:tc>
      </w:tr>
      <w:tr w14:paraId="15ED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vAlign w:val="center"/>
          </w:tcPr>
          <w:p w14:paraId="50195AC9">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5D8E5550">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142DF928">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044138AF">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2AA5223C">
            <w:pPr>
              <w:tabs>
                <w:tab w:val="left" w:pos="255"/>
              </w:tabs>
              <w:spacing w:line="360" w:lineRule="auto"/>
              <w:ind w:left="420" w:leftChars="200" w:firstLine="480" w:firstLineChars="200"/>
              <w:rPr>
                <w:rFonts w:ascii="宋体" w:hAnsi="宋体"/>
                <w:sz w:val="24"/>
                <w:szCs w:val="21"/>
                <w:lang w:val="zh-CN"/>
              </w:rPr>
            </w:pPr>
          </w:p>
        </w:tc>
      </w:tr>
    </w:tbl>
    <w:p w14:paraId="008C2DC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B4B5B2F">
      <w:pPr>
        <w:tabs>
          <w:tab w:val="left" w:pos="255"/>
        </w:tabs>
        <w:spacing w:line="360" w:lineRule="auto"/>
        <w:ind w:left="420" w:leftChars="200" w:firstLine="480" w:firstLineChars="200"/>
        <w:rPr>
          <w:rFonts w:ascii="宋体" w:hAnsi="宋体"/>
          <w:sz w:val="24"/>
          <w:szCs w:val="21"/>
          <w:lang w:val="zh-CN"/>
        </w:rPr>
      </w:pPr>
    </w:p>
    <w:p w14:paraId="123991E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1"/>
    </w:p>
    <w:p w14:paraId="42BC7785">
      <w:pPr>
        <w:rPr>
          <w:rFonts w:ascii="宋体" w:hAnsi="宋体"/>
          <w:b/>
          <w:bCs/>
          <w:sz w:val="36"/>
          <w:szCs w:val="36"/>
        </w:rPr>
      </w:pPr>
    </w:p>
    <w:p w14:paraId="22DE07EA">
      <w:pPr>
        <w:rPr>
          <w:rFonts w:ascii="宋体" w:hAnsi="宋体"/>
          <w:b/>
          <w:bCs/>
          <w:sz w:val="36"/>
          <w:szCs w:val="36"/>
        </w:rPr>
      </w:pPr>
    </w:p>
    <w:p w14:paraId="10EE89DA">
      <w:pPr>
        <w:rPr>
          <w:rFonts w:hint="eastAsia" w:ascii="黑体" w:hAnsi="宋体" w:eastAsia="黑体"/>
          <w:bCs/>
          <w:sz w:val="28"/>
          <w:szCs w:val="28"/>
          <w:lang w:eastAsia="zh-CN"/>
        </w:rPr>
      </w:pPr>
      <w:r>
        <w:rPr>
          <w:rFonts w:hint="eastAsia" w:ascii="黑体" w:hAnsi="宋体" w:eastAsia="黑体"/>
          <w:bCs/>
          <w:sz w:val="28"/>
          <w:szCs w:val="28"/>
          <w:lang w:eastAsia="zh-CN"/>
        </w:rPr>
        <w:br w:type="page"/>
      </w:r>
    </w:p>
    <w:p w14:paraId="55CCB24F">
      <w:pPr>
        <w:rPr>
          <w:rFonts w:hint="eastAsia" w:ascii="黑体" w:hAnsi="宋体" w:eastAsia="黑体" w:cs="Times New Roman"/>
          <w:bCs/>
          <w:sz w:val="28"/>
          <w:szCs w:val="28"/>
        </w:rPr>
      </w:pPr>
      <w:r>
        <w:rPr>
          <w:rFonts w:hint="eastAsia" w:ascii="黑体" w:hAnsi="宋体" w:eastAsia="黑体" w:cs="Times New Roman"/>
          <w:bCs/>
          <w:sz w:val="28"/>
          <w:szCs w:val="28"/>
          <w:lang w:eastAsia="zh-CN"/>
        </w:rPr>
        <w:t>（</w:t>
      </w:r>
      <w:r>
        <w:rPr>
          <w:rFonts w:hint="eastAsia" w:ascii="黑体" w:hAnsi="宋体" w:eastAsia="黑体" w:cs="Times New Roman"/>
          <w:bCs/>
          <w:sz w:val="28"/>
          <w:szCs w:val="28"/>
          <w:lang w:val="en-US" w:eastAsia="zh-CN"/>
        </w:rPr>
        <w:t>五</w:t>
      </w:r>
      <w:r>
        <w:rPr>
          <w:rFonts w:hint="eastAsia" w:ascii="黑体" w:hAnsi="宋体" w:eastAsia="黑体" w:cs="Times New Roman"/>
          <w:bCs/>
          <w:sz w:val="28"/>
          <w:szCs w:val="28"/>
          <w:lang w:eastAsia="zh-CN"/>
        </w:rPr>
        <w:t>）</w:t>
      </w:r>
      <w:r>
        <w:rPr>
          <w:rFonts w:hint="eastAsia" w:ascii="黑体" w:hAnsi="宋体" w:eastAsia="黑体" w:cs="Times New Roman"/>
          <w:bCs/>
          <w:sz w:val="28"/>
          <w:szCs w:val="28"/>
        </w:rPr>
        <w:t>诚信要求：</w:t>
      </w:r>
    </w:p>
    <w:p w14:paraId="45C4AFD0">
      <w:pPr>
        <w:pStyle w:val="533"/>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14:paraId="51FEB49E">
      <w:pPr>
        <w:pStyle w:val="533"/>
        <w:tabs>
          <w:tab w:val="left" w:pos="400"/>
          <w:tab w:val="center" w:pos="4153"/>
        </w:tabs>
        <w:ind w:firstLine="602" w:firstLineChars="200"/>
        <w:jc w:val="center"/>
        <w:rPr>
          <w:rFonts w:hint="eastAsia" w:ascii="仿宋_GB2312" w:hAnsi="宋体" w:eastAsia="仿宋_GB2312"/>
          <w:b/>
          <w:sz w:val="30"/>
          <w:szCs w:val="30"/>
        </w:rPr>
      </w:pPr>
    </w:p>
    <w:p w14:paraId="7E978F39">
      <w:pPr>
        <w:pStyle w:val="533"/>
        <w:tabs>
          <w:tab w:val="left" w:pos="400"/>
          <w:tab w:val="center" w:pos="4153"/>
        </w:tabs>
        <w:ind w:firstLine="602" w:firstLineChars="200"/>
        <w:rPr>
          <w:rFonts w:hint="eastAsia" w:ascii="仿宋_GB2312" w:eastAsia="仿宋_GB2312"/>
          <w:b/>
          <w:sz w:val="30"/>
          <w:szCs w:val="30"/>
          <w:u w:val="single"/>
          <w:lang w:eastAsia="zh-CN"/>
        </w:rPr>
      </w:pPr>
      <w:r>
        <w:rPr>
          <w:rFonts w:hint="eastAsia" w:ascii="仿宋_GB2312" w:eastAsia="仿宋_GB2312"/>
          <w:b/>
          <w:sz w:val="30"/>
          <w:szCs w:val="30"/>
          <w:u w:val="single"/>
        </w:rPr>
        <w:t>我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r>
        <w:rPr>
          <w:rFonts w:hint="eastAsia" w:ascii="仿宋_GB2312" w:eastAsia="仿宋_GB2312"/>
          <w:b/>
          <w:sz w:val="30"/>
          <w:szCs w:val="30"/>
          <w:u w:val="single"/>
          <w:lang w:eastAsia="zh-CN"/>
        </w:rPr>
        <w:t>。</w:t>
      </w:r>
    </w:p>
    <w:p w14:paraId="04FF7244">
      <w:pPr>
        <w:pStyle w:val="533"/>
        <w:tabs>
          <w:tab w:val="left" w:pos="400"/>
          <w:tab w:val="center" w:pos="4153"/>
        </w:tabs>
        <w:jc w:val="both"/>
        <w:rPr>
          <w:rFonts w:hint="eastAsia" w:ascii="仿宋_GB2312" w:hAnsi="宋体" w:eastAsia="仿宋_GB2312"/>
          <w:color w:val="FF0000"/>
          <w:sz w:val="30"/>
          <w:szCs w:val="30"/>
        </w:rPr>
      </w:pPr>
    </w:p>
    <w:p w14:paraId="24A8B77C">
      <w:pPr>
        <w:pStyle w:val="533"/>
        <w:tabs>
          <w:tab w:val="left" w:pos="400"/>
          <w:tab w:val="center" w:pos="4153"/>
        </w:tabs>
        <w:jc w:val="both"/>
        <w:rPr>
          <w:rFonts w:hint="eastAsia" w:ascii="仿宋_GB2312" w:hAnsi="宋体" w:eastAsia="仿宋_GB2312"/>
          <w:color w:val="FF0000"/>
          <w:sz w:val="30"/>
          <w:szCs w:val="30"/>
        </w:rPr>
      </w:pPr>
    </w:p>
    <w:p w14:paraId="2CB1C359">
      <w:pPr>
        <w:pStyle w:val="533"/>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14:paraId="4B8344DF">
      <w:pPr>
        <w:pStyle w:val="533"/>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14:paraId="4C7C6AED">
      <w:pPr>
        <w:pStyle w:val="533"/>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日期：202</w:t>
      </w:r>
      <w:r>
        <w:rPr>
          <w:rFonts w:hint="eastAsia" w:ascii="仿宋_GB2312" w:hAnsi="宋体" w:eastAsia="仿宋_GB2312"/>
          <w:sz w:val="30"/>
          <w:szCs w:val="30"/>
          <w:lang w:val="en-US" w:eastAsia="zh-CN"/>
        </w:rPr>
        <w:t>6</w:t>
      </w:r>
      <w:r>
        <w:rPr>
          <w:rFonts w:hint="eastAsia" w:ascii="仿宋_GB2312" w:hAnsi="宋体" w:eastAsia="仿宋_GB2312"/>
          <w:sz w:val="30"/>
          <w:szCs w:val="30"/>
        </w:rPr>
        <w:t>年 月 日</w:t>
      </w:r>
    </w:p>
    <w:p w14:paraId="69E6AFE1">
      <w:pPr>
        <w:rPr>
          <w:rFonts w:hint="eastAsia" w:ascii="宋体" w:hAnsi="宋体"/>
          <w:b/>
          <w:bCs/>
          <w:sz w:val="24"/>
          <w:szCs w:val="24"/>
          <w:lang w:eastAsia="zh-CN"/>
        </w:rPr>
      </w:pPr>
    </w:p>
    <w:p w14:paraId="565465B3">
      <w:pPr>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br w:type="page"/>
      </w:r>
    </w:p>
    <w:p w14:paraId="0A0D7B79">
      <w:pPr>
        <w:rPr>
          <w:rFonts w:hint="default"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（六）品牌承诺表：</w:t>
      </w:r>
    </w:p>
    <w:p w14:paraId="50CE239B">
      <w:pPr>
        <w:tabs>
          <w:tab w:val="left" w:pos="255"/>
        </w:tabs>
        <w:spacing w:beforeLines="50" w:afterLines="50" w:line="360" w:lineRule="auto"/>
        <w:jc w:val="center"/>
        <w:rPr>
          <w:rFonts w:ascii="黑体" w:hAnsi="黑体" w:eastAsia="黑体" w:cs="Times New Roman"/>
          <w:sz w:val="28"/>
          <w:szCs w:val="21"/>
          <w:highlight w:val="none"/>
          <w:lang w:val="zh-CN"/>
        </w:rPr>
      </w:pPr>
      <w:r>
        <w:rPr>
          <w:rFonts w:hint="eastAsia" w:ascii="黑体" w:hAnsi="黑体" w:eastAsia="黑体" w:cs="Times New Roman"/>
          <w:sz w:val="28"/>
          <w:szCs w:val="21"/>
          <w:highlight w:val="none"/>
          <w:lang w:val="zh-CN"/>
        </w:rPr>
        <w:t>品牌承诺表</w:t>
      </w:r>
    </w:p>
    <w:p w14:paraId="118FBD62">
      <w:pPr>
        <w:tabs>
          <w:tab w:val="left" w:pos="255"/>
        </w:tabs>
        <w:spacing w:beforeLines="50" w:afterLines="50" w:line="360" w:lineRule="auto"/>
        <w:ind w:left="420" w:leftChars="200" w:firstLine="480" w:firstLineChars="200"/>
        <w:rPr>
          <w:rFonts w:hint="default" w:ascii="宋体" w:hAnsi="宋体" w:eastAsia="宋体" w:cs="Times New Roman"/>
          <w:sz w:val="24"/>
          <w:szCs w:val="21"/>
          <w:highlight w:val="none"/>
          <w:lang w:val="en-US" w:eastAsia="zh-CN"/>
        </w:rPr>
      </w:pPr>
      <w:r>
        <w:rPr>
          <w:rFonts w:hint="eastAsia" w:ascii="宋体" w:hAnsi="宋体" w:eastAsia="宋体" w:cs="Times New Roman"/>
          <w:sz w:val="24"/>
          <w:szCs w:val="21"/>
          <w:highlight w:val="none"/>
          <w:lang w:val="zh-CN"/>
        </w:rPr>
        <w:t xml:space="preserve">投标人名称（盖章）：          </w:t>
      </w:r>
      <w:r>
        <w:rPr>
          <w:rFonts w:hint="eastAsia" w:ascii="宋体" w:hAnsi="宋体" w:eastAsia="宋体" w:cs="Times New Roman"/>
          <w:sz w:val="24"/>
          <w:szCs w:val="21"/>
          <w:highlight w:val="none"/>
          <w:lang w:val="en-US" w:eastAsia="zh-CN"/>
        </w:rPr>
        <w:t xml:space="preserve">          </w:t>
      </w:r>
      <w:r>
        <w:rPr>
          <w:rFonts w:hint="eastAsia" w:ascii="宋体" w:hAnsi="宋体" w:eastAsia="宋体" w:cs="Times New Roman"/>
          <w:sz w:val="24"/>
          <w:szCs w:val="21"/>
          <w:highlight w:val="none"/>
          <w:lang w:val="zh-CN"/>
        </w:rPr>
        <w:t xml:space="preserve">     项目编号：</w:t>
      </w:r>
      <w:r>
        <w:rPr>
          <w:rFonts w:hint="eastAsia" w:ascii="宋体" w:hAnsi="宋体" w:cs="Times New Roman"/>
          <w:sz w:val="24"/>
          <w:szCs w:val="21"/>
          <w:highlight w:val="none"/>
          <w:lang w:val="en-US" w:eastAsia="zh-CN"/>
        </w:rPr>
        <w:t>YXGYJT202601028（EPC）（代）</w:t>
      </w:r>
    </w:p>
    <w:tbl>
      <w:tblPr>
        <w:tblStyle w:val="7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64"/>
        <w:gridCol w:w="2876"/>
        <w:gridCol w:w="2332"/>
        <w:gridCol w:w="1969"/>
      </w:tblGrid>
      <w:tr w14:paraId="3FDD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9E5A6A2">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6D24CE85">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材料设备名称</w:t>
            </w:r>
          </w:p>
        </w:tc>
        <w:tc>
          <w:tcPr>
            <w:tcW w:w="2876" w:type="dxa"/>
            <w:tcBorders>
              <w:top w:val="single" w:color="auto" w:sz="4" w:space="0"/>
              <w:left w:val="single" w:color="auto" w:sz="4" w:space="0"/>
              <w:bottom w:val="single" w:color="auto" w:sz="4" w:space="0"/>
              <w:right w:val="single" w:color="auto" w:sz="4" w:space="0"/>
            </w:tcBorders>
            <w:vAlign w:val="center"/>
          </w:tcPr>
          <w:p w14:paraId="1F08D2EE">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参照（或相当于）品牌（型号）</w:t>
            </w:r>
          </w:p>
        </w:tc>
        <w:tc>
          <w:tcPr>
            <w:tcW w:w="2332" w:type="dxa"/>
            <w:tcBorders>
              <w:top w:val="single" w:color="auto" w:sz="4" w:space="0"/>
              <w:left w:val="single" w:color="auto" w:sz="4" w:space="0"/>
              <w:bottom w:val="single" w:color="auto" w:sz="4" w:space="0"/>
              <w:right w:val="single" w:color="auto" w:sz="4" w:space="0"/>
            </w:tcBorders>
            <w:vAlign w:val="center"/>
          </w:tcPr>
          <w:p w14:paraId="5F5D198C">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投标人承诺</w:t>
            </w:r>
          </w:p>
          <w:p w14:paraId="17C09710">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品牌(型号)</w:t>
            </w:r>
          </w:p>
        </w:tc>
        <w:tc>
          <w:tcPr>
            <w:tcW w:w="1969" w:type="dxa"/>
            <w:tcBorders>
              <w:top w:val="single" w:color="auto" w:sz="4" w:space="0"/>
              <w:left w:val="single" w:color="auto" w:sz="4" w:space="0"/>
              <w:bottom w:val="single" w:color="auto" w:sz="4" w:space="0"/>
              <w:right w:val="single" w:color="auto" w:sz="4" w:space="0"/>
            </w:tcBorders>
            <w:vAlign w:val="center"/>
          </w:tcPr>
          <w:p w14:paraId="228CC76E">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备注</w:t>
            </w:r>
          </w:p>
        </w:tc>
      </w:tr>
      <w:tr w14:paraId="2E59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43E7548A">
            <w:pPr>
              <w:widowControl w:val="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664" w:type="dxa"/>
            <w:tcBorders>
              <w:top w:val="single" w:color="auto" w:sz="4" w:space="0"/>
              <w:left w:val="single" w:color="auto" w:sz="4" w:space="0"/>
              <w:bottom w:val="single" w:color="auto" w:sz="4" w:space="0"/>
              <w:right w:val="single" w:color="auto" w:sz="4" w:space="0"/>
            </w:tcBorders>
            <w:vAlign w:val="center"/>
          </w:tcPr>
          <w:p w14:paraId="3F50E125">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卧式螺杆泵</w:t>
            </w:r>
          </w:p>
        </w:tc>
        <w:tc>
          <w:tcPr>
            <w:tcW w:w="2876" w:type="dxa"/>
            <w:tcBorders>
              <w:top w:val="single" w:color="auto" w:sz="4" w:space="0"/>
              <w:left w:val="single" w:color="auto" w:sz="4" w:space="0"/>
              <w:bottom w:val="single" w:color="auto" w:sz="4" w:space="0"/>
              <w:right w:val="single" w:color="auto" w:sz="4" w:space="0"/>
            </w:tcBorders>
            <w:vAlign w:val="center"/>
          </w:tcPr>
          <w:p w14:paraId="43038DBE">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杭州兴龙泵业有限公司、江苏诚德泵阀制造有限公司、靖江市金封泵业有限公司</w:t>
            </w:r>
          </w:p>
        </w:tc>
        <w:tc>
          <w:tcPr>
            <w:tcW w:w="2332" w:type="dxa"/>
            <w:tcBorders>
              <w:top w:val="single" w:color="auto" w:sz="4" w:space="0"/>
              <w:left w:val="single" w:color="auto" w:sz="4" w:space="0"/>
              <w:bottom w:val="single" w:color="auto" w:sz="4" w:space="0"/>
              <w:right w:val="single" w:color="auto" w:sz="4" w:space="0"/>
            </w:tcBorders>
            <w:vAlign w:val="center"/>
          </w:tcPr>
          <w:p w14:paraId="45183FED">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64405A31">
            <w:pPr>
              <w:widowControl w:val="0"/>
              <w:spacing w:line="320" w:lineRule="exact"/>
              <w:jc w:val="both"/>
              <w:rPr>
                <w:rFonts w:hint="default" w:ascii="宋体" w:hAnsi="宋体" w:eastAsia="宋体" w:cs="宋体"/>
                <w:bCs/>
                <w:kern w:val="2"/>
                <w:sz w:val="21"/>
                <w:szCs w:val="21"/>
                <w:highlight w:val="green"/>
                <w:lang w:val="en-US" w:eastAsia="zh-CN" w:bidi="ar-SA"/>
              </w:rPr>
            </w:pPr>
          </w:p>
        </w:tc>
      </w:tr>
      <w:tr w14:paraId="0EA0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7E476715">
            <w:pPr>
              <w:widowControl w:val="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664" w:type="dxa"/>
            <w:tcBorders>
              <w:top w:val="single" w:color="auto" w:sz="4" w:space="0"/>
              <w:left w:val="single" w:color="auto" w:sz="4" w:space="0"/>
              <w:bottom w:val="single" w:color="auto" w:sz="4" w:space="0"/>
              <w:right w:val="single" w:color="auto" w:sz="4" w:space="0"/>
            </w:tcBorders>
            <w:vAlign w:val="center"/>
          </w:tcPr>
          <w:p w14:paraId="6889B595">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隔膜计量泵</w:t>
            </w:r>
          </w:p>
        </w:tc>
        <w:tc>
          <w:tcPr>
            <w:tcW w:w="2876" w:type="dxa"/>
            <w:tcBorders>
              <w:top w:val="single" w:color="auto" w:sz="4" w:space="0"/>
              <w:left w:val="single" w:color="auto" w:sz="4" w:space="0"/>
              <w:bottom w:val="single" w:color="auto" w:sz="4" w:space="0"/>
              <w:right w:val="single" w:color="auto" w:sz="4" w:space="0"/>
            </w:tcBorders>
            <w:vAlign w:val="center"/>
          </w:tcPr>
          <w:p w14:paraId="7E1272F8">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浙江力高泵业科技有限公司、南方泵业、赛高</w:t>
            </w:r>
          </w:p>
        </w:tc>
        <w:tc>
          <w:tcPr>
            <w:tcW w:w="2332" w:type="dxa"/>
            <w:tcBorders>
              <w:top w:val="single" w:color="auto" w:sz="4" w:space="0"/>
              <w:left w:val="single" w:color="auto" w:sz="4" w:space="0"/>
              <w:bottom w:val="single" w:color="auto" w:sz="4" w:space="0"/>
              <w:right w:val="single" w:color="auto" w:sz="4" w:space="0"/>
            </w:tcBorders>
            <w:vAlign w:val="center"/>
          </w:tcPr>
          <w:p w14:paraId="13C0F15B">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34F94433">
            <w:pPr>
              <w:widowControl w:val="0"/>
              <w:spacing w:line="320" w:lineRule="exact"/>
              <w:jc w:val="both"/>
              <w:rPr>
                <w:rFonts w:hint="default" w:ascii="宋体" w:hAnsi="宋体" w:eastAsia="宋体" w:cs="宋体"/>
                <w:bCs/>
                <w:kern w:val="2"/>
                <w:sz w:val="21"/>
                <w:szCs w:val="21"/>
                <w:highlight w:val="green"/>
                <w:lang w:val="en-US" w:eastAsia="zh-CN" w:bidi="ar-SA"/>
              </w:rPr>
            </w:pPr>
          </w:p>
        </w:tc>
      </w:tr>
      <w:tr w14:paraId="08D4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1C64F37">
            <w:pPr>
              <w:widowControl w:val="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p>
        </w:tc>
        <w:tc>
          <w:tcPr>
            <w:tcW w:w="1664" w:type="dxa"/>
            <w:tcBorders>
              <w:top w:val="single" w:color="auto" w:sz="4" w:space="0"/>
              <w:left w:val="single" w:color="auto" w:sz="4" w:space="0"/>
              <w:bottom w:val="single" w:color="auto" w:sz="4" w:space="0"/>
              <w:right w:val="single" w:color="auto" w:sz="4" w:space="0"/>
            </w:tcBorders>
            <w:vAlign w:val="center"/>
          </w:tcPr>
          <w:p w14:paraId="6C0E8C17">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柜内元器件</w:t>
            </w:r>
          </w:p>
        </w:tc>
        <w:tc>
          <w:tcPr>
            <w:tcW w:w="2876" w:type="dxa"/>
            <w:tcBorders>
              <w:top w:val="single" w:color="auto" w:sz="4" w:space="0"/>
              <w:left w:val="single" w:color="auto" w:sz="4" w:space="0"/>
              <w:bottom w:val="single" w:color="auto" w:sz="4" w:space="0"/>
              <w:right w:val="single" w:color="auto" w:sz="4" w:space="0"/>
            </w:tcBorders>
            <w:vAlign w:val="center"/>
          </w:tcPr>
          <w:p w14:paraId="13757131">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施耐德、ABB、西门子</w:t>
            </w:r>
          </w:p>
        </w:tc>
        <w:tc>
          <w:tcPr>
            <w:tcW w:w="2332" w:type="dxa"/>
            <w:tcBorders>
              <w:top w:val="single" w:color="auto" w:sz="4" w:space="0"/>
              <w:left w:val="single" w:color="auto" w:sz="4" w:space="0"/>
              <w:bottom w:val="single" w:color="auto" w:sz="4" w:space="0"/>
              <w:right w:val="single" w:color="auto" w:sz="4" w:space="0"/>
            </w:tcBorders>
            <w:vAlign w:val="center"/>
          </w:tcPr>
          <w:p w14:paraId="3B2E7CD2">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73AC586E">
            <w:pPr>
              <w:widowControl w:val="0"/>
              <w:spacing w:line="320" w:lineRule="exact"/>
              <w:jc w:val="both"/>
              <w:rPr>
                <w:rFonts w:hint="default" w:ascii="宋体" w:hAnsi="宋体" w:eastAsia="宋体" w:cs="宋体"/>
                <w:bCs/>
                <w:kern w:val="2"/>
                <w:sz w:val="21"/>
                <w:szCs w:val="21"/>
                <w:highlight w:val="green"/>
                <w:lang w:val="en-US" w:eastAsia="zh-CN" w:bidi="ar-SA"/>
              </w:rPr>
            </w:pPr>
          </w:p>
        </w:tc>
      </w:tr>
      <w:tr w14:paraId="4A4C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26FEEBF5">
            <w:pPr>
              <w:widowControl w:val="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w:t>
            </w:r>
          </w:p>
        </w:tc>
        <w:tc>
          <w:tcPr>
            <w:tcW w:w="1664" w:type="dxa"/>
            <w:tcBorders>
              <w:top w:val="single" w:color="auto" w:sz="4" w:space="0"/>
              <w:left w:val="single" w:color="auto" w:sz="4" w:space="0"/>
              <w:bottom w:val="single" w:color="auto" w:sz="4" w:space="0"/>
              <w:right w:val="single" w:color="auto" w:sz="4" w:space="0"/>
            </w:tcBorders>
            <w:vAlign w:val="center"/>
          </w:tcPr>
          <w:p w14:paraId="451FA123">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变频器</w:t>
            </w:r>
          </w:p>
        </w:tc>
        <w:tc>
          <w:tcPr>
            <w:tcW w:w="2876" w:type="dxa"/>
            <w:tcBorders>
              <w:top w:val="single" w:color="auto" w:sz="4" w:space="0"/>
              <w:left w:val="single" w:color="auto" w:sz="4" w:space="0"/>
              <w:bottom w:val="single" w:color="auto" w:sz="4" w:space="0"/>
              <w:right w:val="single" w:color="auto" w:sz="4" w:space="0"/>
            </w:tcBorders>
            <w:vAlign w:val="center"/>
          </w:tcPr>
          <w:p w14:paraId="504FEDC0">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施耐德、ABB、西门子</w:t>
            </w:r>
          </w:p>
        </w:tc>
        <w:tc>
          <w:tcPr>
            <w:tcW w:w="2332" w:type="dxa"/>
            <w:tcBorders>
              <w:top w:val="single" w:color="auto" w:sz="4" w:space="0"/>
              <w:left w:val="single" w:color="auto" w:sz="4" w:space="0"/>
              <w:bottom w:val="single" w:color="auto" w:sz="4" w:space="0"/>
              <w:right w:val="single" w:color="auto" w:sz="4" w:space="0"/>
            </w:tcBorders>
            <w:vAlign w:val="center"/>
          </w:tcPr>
          <w:p w14:paraId="1D663332">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5CFDA94A">
            <w:pPr>
              <w:widowControl w:val="0"/>
              <w:spacing w:line="320" w:lineRule="exact"/>
              <w:jc w:val="both"/>
              <w:rPr>
                <w:rFonts w:hint="default" w:ascii="宋体" w:hAnsi="宋体" w:eastAsia="宋体" w:cs="宋体"/>
                <w:bCs/>
                <w:kern w:val="2"/>
                <w:sz w:val="21"/>
                <w:szCs w:val="21"/>
                <w:highlight w:val="green"/>
                <w:lang w:val="en-US" w:eastAsia="zh-CN" w:bidi="ar-SA"/>
              </w:rPr>
            </w:pPr>
          </w:p>
        </w:tc>
      </w:tr>
      <w:tr w14:paraId="0742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2427EC98">
            <w:pPr>
              <w:widowControl w:val="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p>
        </w:tc>
        <w:tc>
          <w:tcPr>
            <w:tcW w:w="1664" w:type="dxa"/>
            <w:tcBorders>
              <w:top w:val="single" w:color="auto" w:sz="4" w:space="0"/>
              <w:left w:val="single" w:color="auto" w:sz="4" w:space="0"/>
              <w:bottom w:val="single" w:color="auto" w:sz="4" w:space="0"/>
              <w:right w:val="single" w:color="auto" w:sz="4" w:space="0"/>
            </w:tcBorders>
            <w:vAlign w:val="center"/>
          </w:tcPr>
          <w:p w14:paraId="0E272C8B">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电线线缆</w:t>
            </w:r>
          </w:p>
        </w:tc>
        <w:tc>
          <w:tcPr>
            <w:tcW w:w="2876" w:type="dxa"/>
            <w:tcBorders>
              <w:top w:val="single" w:color="auto" w:sz="4" w:space="0"/>
              <w:left w:val="single" w:color="auto" w:sz="4" w:space="0"/>
              <w:bottom w:val="single" w:color="auto" w:sz="4" w:space="0"/>
              <w:right w:val="single" w:color="auto" w:sz="4" w:space="0"/>
            </w:tcBorders>
            <w:vAlign w:val="center"/>
          </w:tcPr>
          <w:p w14:paraId="05C04E32">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远东、上上、江南、中超、新远程</w:t>
            </w:r>
          </w:p>
        </w:tc>
        <w:tc>
          <w:tcPr>
            <w:tcW w:w="2332" w:type="dxa"/>
            <w:tcBorders>
              <w:top w:val="single" w:color="auto" w:sz="4" w:space="0"/>
              <w:left w:val="single" w:color="auto" w:sz="4" w:space="0"/>
              <w:bottom w:val="single" w:color="auto" w:sz="4" w:space="0"/>
              <w:right w:val="single" w:color="auto" w:sz="4" w:space="0"/>
            </w:tcBorders>
            <w:vAlign w:val="center"/>
          </w:tcPr>
          <w:p w14:paraId="0CEBE9B6">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598BF309">
            <w:pPr>
              <w:widowControl w:val="0"/>
              <w:spacing w:line="320" w:lineRule="exact"/>
              <w:jc w:val="both"/>
              <w:rPr>
                <w:rFonts w:hint="default" w:ascii="宋体" w:hAnsi="宋体" w:eastAsia="宋体" w:cs="宋体"/>
                <w:bCs/>
                <w:kern w:val="2"/>
                <w:sz w:val="21"/>
                <w:szCs w:val="21"/>
                <w:highlight w:val="green"/>
                <w:lang w:val="en-US" w:eastAsia="zh-CN" w:bidi="ar-SA"/>
              </w:rPr>
            </w:pPr>
          </w:p>
        </w:tc>
      </w:tr>
    </w:tbl>
    <w:p w14:paraId="2E29D2A1">
      <w:pPr>
        <w:ind w:firstLine="420" w:firstLineChars="200"/>
        <w:rPr>
          <w:rFonts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注：</w:t>
      </w:r>
      <w:bookmarkStart w:id="102" w:name="_Toc448681959"/>
      <w:bookmarkStart w:id="103" w:name="_Toc448822646"/>
      <w:r>
        <w:rPr>
          <w:rFonts w:hint="eastAsia" w:ascii="宋体" w:hAnsi="宋体" w:eastAsia="宋体" w:cs="Times New Roman"/>
          <w:b/>
          <w:bCs/>
          <w:color w:val="0000FF"/>
          <w:sz w:val="21"/>
          <w:szCs w:val="21"/>
          <w:highlight w:val="none"/>
        </w:rPr>
        <w:t>投标人应在</w:t>
      </w:r>
      <w:r>
        <w:rPr>
          <w:rFonts w:hint="eastAsia" w:ascii="宋体" w:hAnsi="宋体" w:eastAsia="宋体" w:cs="Times New Roman"/>
          <w:b/>
          <w:bCs/>
          <w:color w:val="0000FF"/>
          <w:sz w:val="21"/>
          <w:szCs w:val="21"/>
          <w:highlight w:val="none"/>
          <w:lang w:val="en-US" w:eastAsia="zh-CN"/>
        </w:rPr>
        <w:t>上述</w:t>
      </w:r>
      <w:r>
        <w:rPr>
          <w:rFonts w:hint="eastAsia" w:ascii="宋体" w:hAnsi="宋体" w:eastAsia="宋体" w:cs="Times New Roman"/>
          <w:b/>
          <w:bCs/>
          <w:color w:val="0000FF"/>
          <w:sz w:val="21"/>
          <w:szCs w:val="21"/>
          <w:highlight w:val="none"/>
        </w:rPr>
        <w:t>参照品牌中</w:t>
      </w:r>
      <w:r>
        <w:rPr>
          <w:rFonts w:hint="eastAsia" w:ascii="宋体" w:hAnsi="宋体" w:eastAsia="宋体" w:cs="Times New Roman"/>
          <w:b/>
          <w:bCs/>
          <w:color w:val="0000FF"/>
          <w:sz w:val="21"/>
          <w:szCs w:val="21"/>
          <w:highlight w:val="none"/>
          <w:lang w:val="en-US" w:eastAsia="zh-CN"/>
        </w:rPr>
        <w:t>任选</w:t>
      </w:r>
      <w:r>
        <w:rPr>
          <w:rFonts w:hint="eastAsia" w:ascii="宋体" w:hAnsi="宋体" w:eastAsia="宋体" w:cs="Times New Roman"/>
          <w:b/>
          <w:bCs/>
          <w:color w:val="0000FF"/>
          <w:sz w:val="21"/>
          <w:szCs w:val="21"/>
          <w:highlight w:val="none"/>
        </w:rPr>
        <w:t>一个</w:t>
      </w:r>
      <w:r>
        <w:rPr>
          <w:rFonts w:hint="eastAsia" w:ascii="宋体" w:hAnsi="宋体" w:eastAsia="宋体" w:cs="Times New Roman"/>
          <w:b/>
          <w:bCs/>
          <w:color w:val="0000FF"/>
          <w:sz w:val="21"/>
          <w:szCs w:val="21"/>
          <w:highlight w:val="none"/>
          <w:lang w:val="en-US" w:eastAsia="zh-CN"/>
        </w:rPr>
        <w:t>品牌</w:t>
      </w:r>
      <w:r>
        <w:rPr>
          <w:rFonts w:hint="eastAsia" w:ascii="宋体" w:hAnsi="宋体" w:eastAsia="宋体" w:cs="Times New Roman"/>
          <w:b/>
          <w:bCs/>
          <w:color w:val="0000FF"/>
          <w:sz w:val="21"/>
          <w:szCs w:val="21"/>
          <w:highlight w:val="none"/>
        </w:rPr>
        <w:t>在以上承诺表中予以承诺。</w:t>
      </w:r>
      <w:r>
        <w:rPr>
          <w:rFonts w:hint="eastAsia" w:ascii="宋体" w:hAnsi="宋体" w:eastAsia="宋体" w:cs="Times New Roman"/>
          <w:color w:val="000000"/>
          <w:sz w:val="21"/>
          <w:szCs w:val="21"/>
          <w:highlight w:val="none"/>
        </w:rPr>
        <w:t>参照品牌列明型号系列的，承诺时也必须明确到型号系列。除以上明确的品牌外，欢迎其他在品牌知名度、信誉度、质量、性能、技术指标等方面不低于上述品牌的产品参加，但必须在</w:t>
      </w:r>
      <w:r>
        <w:rPr>
          <w:rFonts w:ascii="Calibri" w:hAnsi="宋体" w:eastAsia="宋体" w:cs="Times New Roman"/>
          <w:bCs/>
          <w:sz w:val="21"/>
          <w:szCs w:val="21"/>
          <w:highlight w:val="none"/>
        </w:rPr>
        <w:t>20</w:t>
      </w:r>
      <w:r>
        <w:rPr>
          <w:rFonts w:hint="eastAsia" w:ascii="Calibri" w:hAnsi="宋体" w:eastAsia="宋体" w:cs="Times New Roman"/>
          <w:bCs/>
          <w:sz w:val="21"/>
          <w:szCs w:val="21"/>
          <w:highlight w:val="none"/>
        </w:rPr>
        <w:t>2</w:t>
      </w:r>
      <w:r>
        <w:rPr>
          <w:rFonts w:hint="eastAsia" w:ascii="Calibri" w:hAnsi="宋体" w:eastAsia="宋体" w:cs="Times New Roman"/>
          <w:bCs/>
          <w:sz w:val="21"/>
          <w:szCs w:val="21"/>
          <w:highlight w:val="none"/>
          <w:lang w:val="en-US" w:eastAsia="zh-CN"/>
        </w:rPr>
        <w:t>6</w:t>
      </w:r>
      <w:r>
        <w:rPr>
          <w:rFonts w:ascii="Calibri" w:hAnsi="宋体" w:eastAsia="宋体" w:cs="Times New Roman"/>
          <w:bCs/>
          <w:sz w:val="21"/>
          <w:szCs w:val="21"/>
          <w:highlight w:val="none"/>
        </w:rPr>
        <w:t>年</w:t>
      </w:r>
      <w:r>
        <w:rPr>
          <w:rFonts w:hint="eastAsia" w:ascii="Calibri" w:hAnsi="宋体" w:cs="Times New Roman"/>
          <w:bCs/>
          <w:sz w:val="21"/>
          <w:szCs w:val="21"/>
          <w:highlight w:val="none"/>
          <w:lang w:val="en-US" w:eastAsia="zh-CN"/>
        </w:rPr>
        <w:t>2</w:t>
      </w:r>
      <w:r>
        <w:rPr>
          <w:rFonts w:ascii="Calibri" w:hAnsi="宋体" w:eastAsia="宋体" w:cs="Times New Roman"/>
          <w:bCs/>
          <w:sz w:val="21"/>
          <w:szCs w:val="21"/>
          <w:highlight w:val="none"/>
        </w:rPr>
        <w:t>月</w:t>
      </w:r>
      <w:r>
        <w:rPr>
          <w:rFonts w:hint="eastAsia" w:ascii="Calibri" w:hAnsi="宋体" w:cs="Times New Roman"/>
          <w:bCs/>
          <w:sz w:val="21"/>
          <w:szCs w:val="21"/>
          <w:highlight w:val="none"/>
          <w:lang w:val="en-US" w:eastAsia="zh-CN"/>
        </w:rPr>
        <w:t>11</w:t>
      </w:r>
      <w:r>
        <w:rPr>
          <w:rFonts w:ascii="Calibri" w:hAnsi="宋体" w:eastAsia="宋体" w:cs="Times New Roman"/>
          <w:bCs/>
          <w:sz w:val="21"/>
          <w:szCs w:val="21"/>
          <w:highlight w:val="none"/>
        </w:rPr>
        <w:t>日</w:t>
      </w:r>
      <w:r>
        <w:rPr>
          <w:rFonts w:hint="eastAsia" w:ascii="Calibri" w:hAnsi="宋体" w:eastAsia="宋体" w:cs="Times New Roman"/>
          <w:bCs/>
          <w:sz w:val="21"/>
          <w:szCs w:val="21"/>
          <w:highlight w:val="none"/>
        </w:rPr>
        <w:t>16:00</w:t>
      </w:r>
      <w:r>
        <w:rPr>
          <w:rFonts w:ascii="Calibri" w:hAnsi="宋体" w:eastAsia="宋体" w:cs="Times New Roman"/>
          <w:bCs/>
          <w:sz w:val="21"/>
          <w:szCs w:val="21"/>
          <w:highlight w:val="none"/>
        </w:rPr>
        <w:t>前</w:t>
      </w:r>
      <w:r>
        <w:rPr>
          <w:rFonts w:hint="eastAsia" w:ascii="宋体" w:hAnsi="宋体" w:eastAsia="宋体" w:cs="Times New Roman"/>
          <w:color w:val="000000"/>
          <w:sz w:val="21"/>
          <w:szCs w:val="21"/>
          <w:highlight w:val="none"/>
        </w:rPr>
        <w:t>，以书面形式（并加盖公章）向</w:t>
      </w:r>
      <w:r>
        <w:rPr>
          <w:rFonts w:hint="eastAsia" w:ascii="宋体" w:hAnsi="宋体" w:eastAsia="宋体" w:cs="宋体"/>
          <w:kern w:val="0"/>
          <w:sz w:val="21"/>
          <w:szCs w:val="21"/>
          <w:highlight w:val="none"/>
        </w:rPr>
        <w:t>采购</w:t>
      </w:r>
      <w:r>
        <w:rPr>
          <w:rFonts w:hint="eastAsia" w:ascii="宋体" w:hAnsi="宋体" w:eastAsia="宋体" w:cs="Times New Roman"/>
          <w:color w:val="000000"/>
          <w:sz w:val="21"/>
          <w:szCs w:val="21"/>
          <w:highlight w:val="none"/>
        </w:rPr>
        <w:t>人提出，并提供相应的证明材料，</w:t>
      </w:r>
      <w:r>
        <w:rPr>
          <w:rFonts w:hint="eastAsia" w:ascii="宋体" w:hAnsi="宋体" w:eastAsia="宋体" w:cs="宋体"/>
          <w:kern w:val="0"/>
          <w:sz w:val="21"/>
          <w:szCs w:val="21"/>
          <w:highlight w:val="none"/>
        </w:rPr>
        <w:t>采购</w:t>
      </w:r>
      <w:r>
        <w:rPr>
          <w:rFonts w:hint="eastAsia" w:ascii="宋体" w:hAnsi="宋体" w:eastAsia="宋体" w:cs="Times New Roman"/>
          <w:color w:val="000000"/>
          <w:sz w:val="21"/>
          <w:szCs w:val="21"/>
          <w:highlight w:val="none"/>
        </w:rPr>
        <w:t>人认为合理的，将以招标文件答疑方式告知所有投标人予以增加。投标人必须按上述要求在以上承诺表中进行承诺，否则视为未响应招标文件的实质性要求。</w:t>
      </w:r>
      <w:bookmarkEnd w:id="102"/>
      <w:bookmarkEnd w:id="103"/>
    </w:p>
    <w:p w14:paraId="43395F8F">
      <w:pPr>
        <w:rPr>
          <w:rFonts w:ascii="宋体" w:hAnsi="宋体" w:eastAsia="宋体" w:cs="Times New Roman"/>
          <w:color w:val="000000"/>
          <w:szCs w:val="21"/>
          <w:highlight w:val="none"/>
        </w:rPr>
      </w:pPr>
    </w:p>
    <w:p w14:paraId="4552693D">
      <w:pPr>
        <w:rPr>
          <w:rFonts w:ascii="宋体" w:hAnsi="宋体" w:eastAsia="宋体" w:cs="Times New Roman"/>
          <w:color w:val="000000"/>
          <w:szCs w:val="21"/>
          <w:highlight w:val="none"/>
        </w:rPr>
      </w:pPr>
    </w:p>
    <w:p w14:paraId="73D4E312">
      <w:pPr>
        <w:ind w:firstLine="720" w:firstLineChars="300"/>
        <w:jc w:val="both"/>
        <w:rPr>
          <w:rFonts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投标人签名：                               日期：</w:t>
      </w:r>
    </w:p>
    <w:p w14:paraId="7F5D3677">
      <w:pPr>
        <w:rPr>
          <w:rFonts w:hint="eastAsia" w:ascii="黑体" w:hAnsi="宋体" w:eastAsia="黑体" w:cs="Times New Roman"/>
          <w:bCs/>
          <w:sz w:val="28"/>
          <w:szCs w:val="28"/>
          <w:lang w:val="en-US" w:eastAsia="zh-CN"/>
        </w:rPr>
      </w:pPr>
    </w:p>
    <w:p w14:paraId="5A65FF6C">
      <w:pPr>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br w:type="page"/>
      </w:r>
    </w:p>
    <w:p w14:paraId="64809A62">
      <w:pPr>
        <w:rPr>
          <w:rFonts w:hint="eastAsia" w:ascii="黑体" w:hAnsi="宋体" w:eastAsia="黑体" w:cs="Times New Roman"/>
          <w:bCs/>
          <w:sz w:val="28"/>
          <w:szCs w:val="28"/>
          <w:lang w:val="zh-CN" w:eastAsia="zh-CN"/>
        </w:rPr>
      </w:pPr>
      <w:r>
        <w:rPr>
          <w:rFonts w:hint="eastAsia" w:ascii="黑体" w:hAnsi="宋体" w:eastAsia="黑体" w:cs="Times New Roman"/>
          <w:bCs/>
          <w:sz w:val="28"/>
          <w:szCs w:val="28"/>
          <w:lang w:val="en-US" w:eastAsia="zh-CN"/>
        </w:rPr>
        <w:t>（七）</w:t>
      </w:r>
      <w:r>
        <w:rPr>
          <w:rFonts w:hint="eastAsia" w:ascii="黑体" w:hAnsi="宋体" w:eastAsia="黑体" w:cs="Times New Roman"/>
          <w:bCs/>
          <w:sz w:val="28"/>
          <w:szCs w:val="28"/>
          <w:lang w:eastAsia="zh-CN"/>
        </w:rPr>
        <w:t>要求采购人提供的配合（如有自拟并自行添加）；</w:t>
      </w:r>
    </w:p>
    <w:p w14:paraId="6103299D">
      <w:pPr>
        <w:rPr>
          <w:rFonts w:hint="eastAsia" w:ascii="黑体" w:hAnsi="宋体" w:eastAsia="黑体" w:cs="Times New Roman"/>
          <w:bCs/>
          <w:sz w:val="28"/>
          <w:szCs w:val="28"/>
          <w:lang w:val="zh-CN" w:eastAsia="zh-CN"/>
        </w:rPr>
      </w:pPr>
      <w:r>
        <w:rPr>
          <w:rFonts w:hint="eastAsia" w:ascii="黑体" w:hAnsi="宋体" w:eastAsia="黑体" w:cs="Times New Roman"/>
          <w:bCs/>
          <w:sz w:val="28"/>
          <w:szCs w:val="28"/>
          <w:lang w:val="en-US" w:eastAsia="zh-CN"/>
        </w:rPr>
        <w:t>（八）</w:t>
      </w:r>
      <w:r>
        <w:rPr>
          <w:rFonts w:hint="eastAsia" w:ascii="黑体" w:hAnsi="宋体" w:eastAsia="黑体" w:cs="Times New Roman"/>
          <w:bCs/>
          <w:sz w:val="28"/>
          <w:szCs w:val="28"/>
          <w:lang w:val="zh-CN" w:eastAsia="zh-CN"/>
        </w:rPr>
        <w:t>其他（投标人认为有必要提供的声明和文件，</w:t>
      </w:r>
      <w:r>
        <w:rPr>
          <w:rFonts w:hint="eastAsia" w:ascii="黑体" w:hAnsi="宋体" w:eastAsia="黑体" w:cs="Times New Roman"/>
          <w:bCs/>
          <w:sz w:val="28"/>
          <w:szCs w:val="28"/>
          <w:lang w:eastAsia="zh-CN"/>
        </w:rPr>
        <w:t>如有自拟并自行添加）</w:t>
      </w:r>
    </w:p>
    <w:p w14:paraId="547024BE">
      <w:pPr>
        <w:rPr>
          <w:rFonts w:hint="eastAsia" w:ascii="宋体" w:hAnsi="宋体"/>
          <w:b/>
          <w:bCs/>
          <w:sz w:val="24"/>
          <w:szCs w:val="24"/>
          <w:lang w:eastAsia="zh-CN"/>
        </w:rPr>
      </w:pPr>
    </w:p>
    <w:sectPr>
      <w:footerReference r:id="rId4"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2D9F">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6E428">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96E428">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5218">
    <w:pPr>
      <w:pStyle w:val="49"/>
      <w:tabs>
        <w:tab w:val="center" w:pos="4879"/>
        <w:tab w:val="left" w:pos="6769"/>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p w14:paraId="5A96E95E">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59B06"/>
    <w:multiLevelType w:val="singleLevel"/>
    <w:tmpl w:val="8B459B06"/>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2">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4">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6">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17">
    <w:nsid w:val="4FA533DD"/>
    <w:multiLevelType w:val="singleLevel"/>
    <w:tmpl w:val="4FA533DD"/>
    <w:lvl w:ilvl="0" w:tentative="0">
      <w:start w:val="5"/>
      <w:numFmt w:val="chineseCounting"/>
      <w:suff w:val="nothing"/>
      <w:lvlText w:val="%1、"/>
      <w:lvlJc w:val="left"/>
    </w:lvl>
  </w:abstractNum>
  <w:abstractNum w:abstractNumId="18">
    <w:nsid w:val="55D92A6C"/>
    <w:multiLevelType w:val="multilevel"/>
    <w:tmpl w:val="55D92A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0">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23">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4">
    <w:nsid w:val="5C311AE0"/>
    <w:multiLevelType w:val="multilevel"/>
    <w:tmpl w:val="5C311AE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73F95F62"/>
    <w:multiLevelType w:val="multilevel"/>
    <w:tmpl w:val="73F95F62"/>
    <w:lvl w:ilvl="0" w:tentative="0">
      <w:start w:val="6"/>
      <w:numFmt w:val="bullet"/>
      <w:lvlText w:val="★"/>
      <w:lvlJc w:val="left"/>
      <w:pPr>
        <w:tabs>
          <w:tab w:val="left" w:pos="750"/>
        </w:tabs>
        <w:ind w:left="750" w:hanging="435"/>
      </w:pPr>
      <w:rPr>
        <w:rFonts w:hint="default" w:ascii="宋体" w:hAnsi="宋体" w:eastAsia="宋体" w:cs="Times New Roman"/>
        <w:highlight w:val="none"/>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num w:numId="1">
    <w:abstractNumId w:val="10"/>
  </w:num>
  <w:num w:numId="2">
    <w:abstractNumId w:val="5"/>
  </w:num>
  <w:num w:numId="3">
    <w:abstractNumId w:val="16"/>
  </w:num>
  <w:num w:numId="4">
    <w:abstractNumId w:val="26"/>
  </w:num>
  <w:num w:numId="5">
    <w:abstractNumId w:val="3"/>
  </w:num>
  <w:num w:numId="6">
    <w:abstractNumId w:val="25"/>
  </w:num>
  <w:num w:numId="7">
    <w:abstractNumId w:val="15"/>
  </w:num>
  <w:num w:numId="8">
    <w:abstractNumId w:val="2"/>
  </w:num>
  <w:num w:numId="9">
    <w:abstractNumId w:val="7"/>
  </w:num>
  <w:num w:numId="10">
    <w:abstractNumId w:val="6"/>
  </w:num>
  <w:num w:numId="11">
    <w:abstractNumId w:val="14"/>
  </w:num>
  <w:num w:numId="12">
    <w:abstractNumId w:val="12"/>
  </w:num>
  <w:num w:numId="13">
    <w:abstractNumId w:val="4"/>
  </w:num>
  <w:num w:numId="14">
    <w:abstractNumId w:val="1"/>
  </w:num>
  <w:num w:numId="15">
    <w:abstractNumId w:val="23"/>
  </w:num>
  <w:num w:numId="16">
    <w:abstractNumId w:val="21"/>
  </w:num>
  <w:num w:numId="17">
    <w:abstractNumId w:val="11"/>
  </w:num>
  <w:num w:numId="18">
    <w:abstractNumId w:val="19"/>
  </w:num>
  <w:num w:numId="19">
    <w:abstractNumId w:val="8"/>
  </w:num>
  <w:num w:numId="20">
    <w:abstractNumId w:val="13"/>
  </w:num>
  <w:num w:numId="21">
    <w:abstractNumId w:val="22"/>
  </w:num>
  <w:num w:numId="22">
    <w:abstractNumId w:val="0"/>
  </w:num>
  <w:num w:numId="23">
    <w:abstractNumId w:val="27"/>
  </w:num>
  <w:num w:numId="24">
    <w:abstractNumId w:val="24"/>
  </w:num>
  <w:num w:numId="25">
    <w:abstractNumId w:val="18"/>
  </w:num>
  <w:num w:numId="26">
    <w:abstractNumId w:val="17"/>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OWU3NjI4MGFjOTMzNmVmMDc4ZDU2YzQzNjJjMj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0F4321"/>
    <w:rsid w:val="001070FE"/>
    <w:rsid w:val="00107521"/>
    <w:rsid w:val="00110153"/>
    <w:rsid w:val="0011044A"/>
    <w:rsid w:val="00115C57"/>
    <w:rsid w:val="00141684"/>
    <w:rsid w:val="00141EA7"/>
    <w:rsid w:val="001432FC"/>
    <w:rsid w:val="00145CF6"/>
    <w:rsid w:val="00156D11"/>
    <w:rsid w:val="00162D73"/>
    <w:rsid w:val="00163B02"/>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5C28"/>
    <w:rsid w:val="002375AF"/>
    <w:rsid w:val="002404C7"/>
    <w:rsid w:val="00243C15"/>
    <w:rsid w:val="00246E76"/>
    <w:rsid w:val="00251986"/>
    <w:rsid w:val="00253543"/>
    <w:rsid w:val="002674E8"/>
    <w:rsid w:val="00280EDD"/>
    <w:rsid w:val="00281DAF"/>
    <w:rsid w:val="0028335F"/>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37B6"/>
    <w:rsid w:val="00393944"/>
    <w:rsid w:val="00393C62"/>
    <w:rsid w:val="00394046"/>
    <w:rsid w:val="00396495"/>
    <w:rsid w:val="003B0CC0"/>
    <w:rsid w:val="003B44C5"/>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A4C26"/>
    <w:rsid w:val="005B3469"/>
    <w:rsid w:val="005B4FA7"/>
    <w:rsid w:val="005C2860"/>
    <w:rsid w:val="005C6322"/>
    <w:rsid w:val="005C6ADC"/>
    <w:rsid w:val="005E3BCF"/>
    <w:rsid w:val="005F5690"/>
    <w:rsid w:val="005F73AF"/>
    <w:rsid w:val="00611F53"/>
    <w:rsid w:val="00612EEF"/>
    <w:rsid w:val="00617E69"/>
    <w:rsid w:val="00624DB0"/>
    <w:rsid w:val="00636A45"/>
    <w:rsid w:val="0065587C"/>
    <w:rsid w:val="00657F7E"/>
    <w:rsid w:val="00666B5F"/>
    <w:rsid w:val="00666CD8"/>
    <w:rsid w:val="00667851"/>
    <w:rsid w:val="0067075C"/>
    <w:rsid w:val="0068693F"/>
    <w:rsid w:val="00695A9E"/>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2B87"/>
    <w:rsid w:val="00794980"/>
    <w:rsid w:val="00795C42"/>
    <w:rsid w:val="007A0BE2"/>
    <w:rsid w:val="007A376A"/>
    <w:rsid w:val="007C3291"/>
    <w:rsid w:val="007C5599"/>
    <w:rsid w:val="007D20CA"/>
    <w:rsid w:val="007D2C2E"/>
    <w:rsid w:val="007D62F2"/>
    <w:rsid w:val="007D6775"/>
    <w:rsid w:val="007E62F1"/>
    <w:rsid w:val="007F188A"/>
    <w:rsid w:val="00801052"/>
    <w:rsid w:val="00803E7C"/>
    <w:rsid w:val="00806B1F"/>
    <w:rsid w:val="00810F5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0B2B"/>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1E11"/>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5195"/>
    <w:rsid w:val="00AE5688"/>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70A8E"/>
    <w:rsid w:val="00B75763"/>
    <w:rsid w:val="00B767C3"/>
    <w:rsid w:val="00B805B3"/>
    <w:rsid w:val="00B917B9"/>
    <w:rsid w:val="00B962FE"/>
    <w:rsid w:val="00BA5309"/>
    <w:rsid w:val="00BB3FF4"/>
    <w:rsid w:val="00BC1CD2"/>
    <w:rsid w:val="00BD30A0"/>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8715B"/>
    <w:rsid w:val="00C92235"/>
    <w:rsid w:val="00C930F2"/>
    <w:rsid w:val="00C939B8"/>
    <w:rsid w:val="00C9493F"/>
    <w:rsid w:val="00C97C1C"/>
    <w:rsid w:val="00CA0016"/>
    <w:rsid w:val="00CA38FB"/>
    <w:rsid w:val="00CA3DE6"/>
    <w:rsid w:val="00CA6480"/>
    <w:rsid w:val="00CA7B7D"/>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3C86"/>
    <w:rsid w:val="00D66B2E"/>
    <w:rsid w:val="00D67BC6"/>
    <w:rsid w:val="00D763F8"/>
    <w:rsid w:val="00D80F3A"/>
    <w:rsid w:val="00D95933"/>
    <w:rsid w:val="00DA7DF6"/>
    <w:rsid w:val="00DB6353"/>
    <w:rsid w:val="00DC7154"/>
    <w:rsid w:val="00DC7F06"/>
    <w:rsid w:val="00DD0194"/>
    <w:rsid w:val="00DD51CB"/>
    <w:rsid w:val="00DD7C73"/>
    <w:rsid w:val="00DE0AC9"/>
    <w:rsid w:val="00DF662D"/>
    <w:rsid w:val="00E05E02"/>
    <w:rsid w:val="00E10C9B"/>
    <w:rsid w:val="00E21119"/>
    <w:rsid w:val="00E24ED6"/>
    <w:rsid w:val="00E26EED"/>
    <w:rsid w:val="00E337B0"/>
    <w:rsid w:val="00E35C17"/>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223"/>
    <w:rsid w:val="00EB2A2B"/>
    <w:rsid w:val="00EB48F2"/>
    <w:rsid w:val="00EB54B0"/>
    <w:rsid w:val="00EC2894"/>
    <w:rsid w:val="00EE2EEC"/>
    <w:rsid w:val="00EE5F8B"/>
    <w:rsid w:val="00EF1204"/>
    <w:rsid w:val="00EF1D49"/>
    <w:rsid w:val="00F00FE3"/>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2E3C"/>
    <w:rsid w:val="00FD33BD"/>
    <w:rsid w:val="00FE1913"/>
    <w:rsid w:val="00FE43DF"/>
    <w:rsid w:val="00FE73C8"/>
    <w:rsid w:val="00FE741C"/>
    <w:rsid w:val="00FF5D2B"/>
    <w:rsid w:val="00FF64ED"/>
    <w:rsid w:val="01121A98"/>
    <w:rsid w:val="01BC5A23"/>
    <w:rsid w:val="02635D85"/>
    <w:rsid w:val="0298649B"/>
    <w:rsid w:val="02FB2260"/>
    <w:rsid w:val="033F3F58"/>
    <w:rsid w:val="034E3D7A"/>
    <w:rsid w:val="03B52F7D"/>
    <w:rsid w:val="03F24FC6"/>
    <w:rsid w:val="048033EF"/>
    <w:rsid w:val="05163682"/>
    <w:rsid w:val="052F6D8F"/>
    <w:rsid w:val="055B4494"/>
    <w:rsid w:val="056F7946"/>
    <w:rsid w:val="05A67EB9"/>
    <w:rsid w:val="05EF0866"/>
    <w:rsid w:val="06952D48"/>
    <w:rsid w:val="070D4E50"/>
    <w:rsid w:val="07231D69"/>
    <w:rsid w:val="086F1610"/>
    <w:rsid w:val="087D6F8A"/>
    <w:rsid w:val="088C2CFA"/>
    <w:rsid w:val="08B36102"/>
    <w:rsid w:val="091059A5"/>
    <w:rsid w:val="09960925"/>
    <w:rsid w:val="0A01553A"/>
    <w:rsid w:val="0A122535"/>
    <w:rsid w:val="0A3B412B"/>
    <w:rsid w:val="0A9253C6"/>
    <w:rsid w:val="0B350656"/>
    <w:rsid w:val="0CAF719F"/>
    <w:rsid w:val="0CF22B13"/>
    <w:rsid w:val="0D050F20"/>
    <w:rsid w:val="0E6024DC"/>
    <w:rsid w:val="0E6D22FB"/>
    <w:rsid w:val="0E74519D"/>
    <w:rsid w:val="0E8D0E88"/>
    <w:rsid w:val="0EF47FDE"/>
    <w:rsid w:val="0EFE1E5F"/>
    <w:rsid w:val="0F3C00AE"/>
    <w:rsid w:val="0F9F0BC7"/>
    <w:rsid w:val="1009308B"/>
    <w:rsid w:val="10F0213A"/>
    <w:rsid w:val="1110464B"/>
    <w:rsid w:val="112973C6"/>
    <w:rsid w:val="11E735D5"/>
    <w:rsid w:val="1361702C"/>
    <w:rsid w:val="136977CC"/>
    <w:rsid w:val="138C4D01"/>
    <w:rsid w:val="143471ED"/>
    <w:rsid w:val="14FD1D36"/>
    <w:rsid w:val="150C13AE"/>
    <w:rsid w:val="15331909"/>
    <w:rsid w:val="16270B3A"/>
    <w:rsid w:val="16722DFA"/>
    <w:rsid w:val="168A3D2C"/>
    <w:rsid w:val="16E02393"/>
    <w:rsid w:val="17DD00AB"/>
    <w:rsid w:val="17F31758"/>
    <w:rsid w:val="181B3379"/>
    <w:rsid w:val="18B81128"/>
    <w:rsid w:val="18E67433"/>
    <w:rsid w:val="1908229C"/>
    <w:rsid w:val="19BC4BEE"/>
    <w:rsid w:val="19F15A50"/>
    <w:rsid w:val="1A18371B"/>
    <w:rsid w:val="1A6069CC"/>
    <w:rsid w:val="1A6C5716"/>
    <w:rsid w:val="1A7B546E"/>
    <w:rsid w:val="1BA12039"/>
    <w:rsid w:val="1C0A51E7"/>
    <w:rsid w:val="1C23037F"/>
    <w:rsid w:val="1CDC4C9E"/>
    <w:rsid w:val="1D277A10"/>
    <w:rsid w:val="1E164713"/>
    <w:rsid w:val="1F3D4BDA"/>
    <w:rsid w:val="1F805240"/>
    <w:rsid w:val="205413AE"/>
    <w:rsid w:val="210E1E80"/>
    <w:rsid w:val="215A19BE"/>
    <w:rsid w:val="23825220"/>
    <w:rsid w:val="238C2E05"/>
    <w:rsid w:val="23EC2F12"/>
    <w:rsid w:val="246801D8"/>
    <w:rsid w:val="25306907"/>
    <w:rsid w:val="26C60DC1"/>
    <w:rsid w:val="26F26D28"/>
    <w:rsid w:val="27553C9F"/>
    <w:rsid w:val="27932736"/>
    <w:rsid w:val="28393B76"/>
    <w:rsid w:val="28B665B6"/>
    <w:rsid w:val="29DA08EE"/>
    <w:rsid w:val="2AC33EAC"/>
    <w:rsid w:val="2AED2CDD"/>
    <w:rsid w:val="2B1C3245"/>
    <w:rsid w:val="2B974985"/>
    <w:rsid w:val="2BC11C46"/>
    <w:rsid w:val="2C304F8C"/>
    <w:rsid w:val="2C9C0F9E"/>
    <w:rsid w:val="2CEB4092"/>
    <w:rsid w:val="2CFD2712"/>
    <w:rsid w:val="2D161B30"/>
    <w:rsid w:val="2E33402E"/>
    <w:rsid w:val="2E874BAF"/>
    <w:rsid w:val="2E9F5C62"/>
    <w:rsid w:val="30D41037"/>
    <w:rsid w:val="30F6796E"/>
    <w:rsid w:val="312E356C"/>
    <w:rsid w:val="31497D8B"/>
    <w:rsid w:val="319E5533"/>
    <w:rsid w:val="31B71515"/>
    <w:rsid w:val="33060EBA"/>
    <w:rsid w:val="342D6EEF"/>
    <w:rsid w:val="34354864"/>
    <w:rsid w:val="346D28FC"/>
    <w:rsid w:val="359F2D89"/>
    <w:rsid w:val="35F85B82"/>
    <w:rsid w:val="367C29A7"/>
    <w:rsid w:val="37601F37"/>
    <w:rsid w:val="378370E7"/>
    <w:rsid w:val="378A7CBB"/>
    <w:rsid w:val="385D1442"/>
    <w:rsid w:val="3884091C"/>
    <w:rsid w:val="38FF7204"/>
    <w:rsid w:val="3A412310"/>
    <w:rsid w:val="3A5F170D"/>
    <w:rsid w:val="3AA24E4B"/>
    <w:rsid w:val="3B5F39BE"/>
    <w:rsid w:val="3B6C3818"/>
    <w:rsid w:val="3BEA2F0D"/>
    <w:rsid w:val="3C9520B3"/>
    <w:rsid w:val="3CEA44D4"/>
    <w:rsid w:val="3E9876E2"/>
    <w:rsid w:val="3E987883"/>
    <w:rsid w:val="3EA618C4"/>
    <w:rsid w:val="3EE424B4"/>
    <w:rsid w:val="40574364"/>
    <w:rsid w:val="411077C2"/>
    <w:rsid w:val="413324F2"/>
    <w:rsid w:val="420B6FB7"/>
    <w:rsid w:val="42153DCA"/>
    <w:rsid w:val="422E7D02"/>
    <w:rsid w:val="424A71D2"/>
    <w:rsid w:val="42EC32E2"/>
    <w:rsid w:val="42FD26FC"/>
    <w:rsid w:val="43443D9B"/>
    <w:rsid w:val="437171AF"/>
    <w:rsid w:val="44456819"/>
    <w:rsid w:val="44C01135"/>
    <w:rsid w:val="45156357"/>
    <w:rsid w:val="451D33D2"/>
    <w:rsid w:val="45625B05"/>
    <w:rsid w:val="459A1963"/>
    <w:rsid w:val="45ED31E3"/>
    <w:rsid w:val="46D51EE4"/>
    <w:rsid w:val="47346877"/>
    <w:rsid w:val="47655D96"/>
    <w:rsid w:val="476F2BF3"/>
    <w:rsid w:val="478B3F94"/>
    <w:rsid w:val="479F6F5C"/>
    <w:rsid w:val="47B808F9"/>
    <w:rsid w:val="47DD7AD0"/>
    <w:rsid w:val="47FD4EF1"/>
    <w:rsid w:val="487E28B6"/>
    <w:rsid w:val="488E3027"/>
    <w:rsid w:val="48DF421C"/>
    <w:rsid w:val="497958A5"/>
    <w:rsid w:val="499507D6"/>
    <w:rsid w:val="49CC1CEB"/>
    <w:rsid w:val="4A05330E"/>
    <w:rsid w:val="4A510301"/>
    <w:rsid w:val="4AEE5B50"/>
    <w:rsid w:val="4B657429"/>
    <w:rsid w:val="4B675475"/>
    <w:rsid w:val="4C212C6D"/>
    <w:rsid w:val="4CB542FF"/>
    <w:rsid w:val="4D1F4BD0"/>
    <w:rsid w:val="4D1F5BF8"/>
    <w:rsid w:val="4DDB6116"/>
    <w:rsid w:val="4E0D0AC2"/>
    <w:rsid w:val="4E62234D"/>
    <w:rsid w:val="4EB235F2"/>
    <w:rsid w:val="4F170CF0"/>
    <w:rsid w:val="50541E30"/>
    <w:rsid w:val="50C63717"/>
    <w:rsid w:val="50D431BD"/>
    <w:rsid w:val="513076F1"/>
    <w:rsid w:val="51AC646F"/>
    <w:rsid w:val="52FD606D"/>
    <w:rsid w:val="53114AD1"/>
    <w:rsid w:val="53F51BFA"/>
    <w:rsid w:val="54335A4F"/>
    <w:rsid w:val="543C0555"/>
    <w:rsid w:val="543D0713"/>
    <w:rsid w:val="54573A62"/>
    <w:rsid w:val="55384597"/>
    <w:rsid w:val="556A10B6"/>
    <w:rsid w:val="55F3018B"/>
    <w:rsid w:val="57BE02DE"/>
    <w:rsid w:val="582E2F19"/>
    <w:rsid w:val="58602EF0"/>
    <w:rsid w:val="58CE79BF"/>
    <w:rsid w:val="58F97241"/>
    <w:rsid w:val="594819C3"/>
    <w:rsid w:val="59AC7302"/>
    <w:rsid w:val="59F45004"/>
    <w:rsid w:val="5AB00494"/>
    <w:rsid w:val="5B0A3711"/>
    <w:rsid w:val="5B7C4AB2"/>
    <w:rsid w:val="5CAB4193"/>
    <w:rsid w:val="5D532B88"/>
    <w:rsid w:val="5E1C4E25"/>
    <w:rsid w:val="5F7A60A0"/>
    <w:rsid w:val="5FB3139F"/>
    <w:rsid w:val="5FBC44F9"/>
    <w:rsid w:val="5FDF06DF"/>
    <w:rsid w:val="60957220"/>
    <w:rsid w:val="609C1F1F"/>
    <w:rsid w:val="60A21C60"/>
    <w:rsid w:val="612125CC"/>
    <w:rsid w:val="61CD250B"/>
    <w:rsid w:val="61D2504A"/>
    <w:rsid w:val="61F759BE"/>
    <w:rsid w:val="61F92827"/>
    <w:rsid w:val="62585B87"/>
    <w:rsid w:val="628A2085"/>
    <w:rsid w:val="62C0797A"/>
    <w:rsid w:val="638727CB"/>
    <w:rsid w:val="63A8209E"/>
    <w:rsid w:val="63B079C4"/>
    <w:rsid w:val="64242A4C"/>
    <w:rsid w:val="64500D6A"/>
    <w:rsid w:val="646140D3"/>
    <w:rsid w:val="64776A5C"/>
    <w:rsid w:val="64E20A6D"/>
    <w:rsid w:val="65011CE3"/>
    <w:rsid w:val="650859F1"/>
    <w:rsid w:val="651B74EF"/>
    <w:rsid w:val="65252585"/>
    <w:rsid w:val="67156804"/>
    <w:rsid w:val="674B5CF6"/>
    <w:rsid w:val="67872B14"/>
    <w:rsid w:val="67894AF6"/>
    <w:rsid w:val="68C1346A"/>
    <w:rsid w:val="69AC2A06"/>
    <w:rsid w:val="69E82E1F"/>
    <w:rsid w:val="69EC72A7"/>
    <w:rsid w:val="6AD63249"/>
    <w:rsid w:val="6B1900A6"/>
    <w:rsid w:val="6B39476E"/>
    <w:rsid w:val="6B5C0F5B"/>
    <w:rsid w:val="6BCB6DE4"/>
    <w:rsid w:val="6BD11C9D"/>
    <w:rsid w:val="6BDF31C9"/>
    <w:rsid w:val="6C8F7178"/>
    <w:rsid w:val="6D601BDC"/>
    <w:rsid w:val="6E4F7679"/>
    <w:rsid w:val="6E985A3E"/>
    <w:rsid w:val="6F0B4F45"/>
    <w:rsid w:val="6F162F6C"/>
    <w:rsid w:val="6FF26ED5"/>
    <w:rsid w:val="701C3B08"/>
    <w:rsid w:val="70285A41"/>
    <w:rsid w:val="7074019D"/>
    <w:rsid w:val="707A0EEA"/>
    <w:rsid w:val="714059D6"/>
    <w:rsid w:val="71D543D4"/>
    <w:rsid w:val="71DA6D45"/>
    <w:rsid w:val="72007BC7"/>
    <w:rsid w:val="72043BDA"/>
    <w:rsid w:val="72430013"/>
    <w:rsid w:val="72B74F53"/>
    <w:rsid w:val="73646818"/>
    <w:rsid w:val="73C42DC7"/>
    <w:rsid w:val="73EC2B8D"/>
    <w:rsid w:val="741C63C0"/>
    <w:rsid w:val="742322C8"/>
    <w:rsid w:val="742837DB"/>
    <w:rsid w:val="754A1135"/>
    <w:rsid w:val="755E4580"/>
    <w:rsid w:val="761412CD"/>
    <w:rsid w:val="762E691D"/>
    <w:rsid w:val="76961D80"/>
    <w:rsid w:val="76BB27C5"/>
    <w:rsid w:val="76D605BF"/>
    <w:rsid w:val="7746452B"/>
    <w:rsid w:val="775F351C"/>
    <w:rsid w:val="77B56BB5"/>
    <w:rsid w:val="78376E49"/>
    <w:rsid w:val="787539A8"/>
    <w:rsid w:val="79486E2C"/>
    <w:rsid w:val="79646C4C"/>
    <w:rsid w:val="79B34A7B"/>
    <w:rsid w:val="7A803E28"/>
    <w:rsid w:val="7A917E6F"/>
    <w:rsid w:val="7BAA543A"/>
    <w:rsid w:val="7D0D0224"/>
    <w:rsid w:val="7D11554A"/>
    <w:rsid w:val="7DB5318C"/>
    <w:rsid w:val="7E0056FB"/>
    <w:rsid w:val="7E1259E2"/>
    <w:rsid w:val="7EAF3F8C"/>
    <w:rsid w:val="7F416A44"/>
    <w:rsid w:val="7F5651DD"/>
    <w:rsid w:val="7F915A3E"/>
    <w:rsid w:val="7FD4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0"/>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qFormat/>
    <w:uiPriority w:val="0"/>
    <w:pPr>
      <w:spacing w:after="120"/>
      <w:ind w:firstLine="420" w:firstLineChars="100"/>
    </w:p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99"/>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2"/>
    <w:qFormat/>
    <w:uiPriority w:val="0"/>
    <w:rPr>
      <w:rFonts w:ascii="Courier New" w:hAnsi="Courier New"/>
      <w:sz w:val="21"/>
    </w:rPr>
  </w:style>
  <w:style w:type="character" w:customStyle="1" w:styleId="95">
    <w:name w:val="标题 1 Char"/>
    <w:basedOn w:val="77"/>
    <w:link w:val="3"/>
    <w:qFormat/>
    <w:uiPriority w:val="0"/>
    <w:rPr>
      <w:rFonts w:ascii="Times New Roman" w:hAnsi="Times New Roman"/>
      <w:color w:val="000000"/>
      <w:kern w:val="2"/>
      <w:sz w:val="24"/>
    </w:rPr>
  </w:style>
  <w:style w:type="character" w:customStyle="1" w:styleId="96">
    <w:name w:val="标题 2 Char"/>
    <w:basedOn w:val="77"/>
    <w:link w:val="4"/>
    <w:qFormat/>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qFormat/>
    <w:uiPriority w:val="0"/>
    <w:rPr>
      <w:rFonts w:ascii="Times New Roman" w:hAnsi="Times New Roman"/>
      <w:kern w:val="2"/>
      <w:sz w:val="18"/>
      <w:szCs w:val="18"/>
    </w:rPr>
  </w:style>
  <w:style w:type="character" w:customStyle="1" w:styleId="99">
    <w:name w:val="标题 5 Char"/>
    <w:basedOn w:val="77"/>
    <w:link w:val="7"/>
    <w:qFormat/>
    <w:uiPriority w:val="0"/>
    <w:rPr>
      <w:rFonts w:ascii="Times New Roman" w:hAnsi="Times New Roman"/>
      <w:b/>
      <w:kern w:val="2"/>
      <w:sz w:val="28"/>
    </w:rPr>
  </w:style>
  <w:style w:type="character" w:customStyle="1" w:styleId="100">
    <w:name w:val="标题 6 Char"/>
    <w:basedOn w:val="77"/>
    <w:link w:val="8"/>
    <w:qFormat/>
    <w:uiPriority w:val="0"/>
    <w:rPr>
      <w:rFonts w:ascii="Arial" w:hAnsi="Arial" w:eastAsia="黑体"/>
      <w:b/>
      <w:kern w:val="2"/>
      <w:sz w:val="24"/>
    </w:rPr>
  </w:style>
  <w:style w:type="character" w:customStyle="1" w:styleId="101">
    <w:name w:val="标题 7 Char"/>
    <w:basedOn w:val="77"/>
    <w:link w:val="9"/>
    <w:qFormat/>
    <w:uiPriority w:val="0"/>
    <w:rPr>
      <w:rFonts w:ascii="Times New Roman" w:hAnsi="Times New Roman"/>
      <w:b/>
      <w:kern w:val="2"/>
      <w:sz w:val="24"/>
    </w:rPr>
  </w:style>
  <w:style w:type="character" w:customStyle="1" w:styleId="102">
    <w:name w:val="标题 8 Char"/>
    <w:basedOn w:val="77"/>
    <w:link w:val="10"/>
    <w:qFormat/>
    <w:uiPriority w:val="0"/>
    <w:rPr>
      <w:rFonts w:ascii="宋体" w:hAnsi="Times New Roman"/>
      <w:b/>
      <w:sz w:val="21"/>
    </w:rPr>
  </w:style>
  <w:style w:type="character" w:customStyle="1" w:styleId="103">
    <w:name w:val="标题 9 Char"/>
    <w:basedOn w:val="77"/>
    <w:link w:val="12"/>
    <w:qFormat/>
    <w:uiPriority w:val="0"/>
    <w:rPr>
      <w:rFonts w:ascii="Arial" w:hAnsi="Arial" w:eastAsia="黑体"/>
      <w:kern w:val="2"/>
      <w:sz w:val="21"/>
    </w:rPr>
  </w:style>
  <w:style w:type="character" w:customStyle="1" w:styleId="104">
    <w:name w:val="注释标题 Char"/>
    <w:basedOn w:val="77"/>
    <w:link w:val="17"/>
    <w:qFormat/>
    <w:uiPriority w:val="0"/>
    <w:rPr>
      <w:rFonts w:ascii="Arial" w:hAnsi="Arial" w:eastAsia="黑体"/>
      <w:kern w:val="2"/>
      <w:sz w:val="21"/>
    </w:rPr>
  </w:style>
  <w:style w:type="character" w:customStyle="1" w:styleId="105">
    <w:name w:val="文档结构图 Char"/>
    <w:basedOn w:val="77"/>
    <w:link w:val="25"/>
    <w:qFormat/>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qFormat/>
    <w:uiPriority w:val="0"/>
    <w:rPr>
      <w:kern w:val="2"/>
      <w:sz w:val="16"/>
      <w:szCs w:val="16"/>
    </w:rPr>
  </w:style>
  <w:style w:type="character" w:customStyle="1" w:styleId="108">
    <w:name w:val="正文文本 Char"/>
    <w:basedOn w:val="77"/>
    <w:link w:val="30"/>
    <w:qFormat/>
    <w:uiPriority w:val="0"/>
    <w:rPr>
      <w:rFonts w:ascii="Times New Roman" w:hAnsi="Times New Roman"/>
      <w:kern w:val="2"/>
    </w:rPr>
  </w:style>
  <w:style w:type="character" w:customStyle="1" w:styleId="109">
    <w:name w:val="正文文本缩进 Char"/>
    <w:basedOn w:val="77"/>
    <w:link w:val="31"/>
    <w:qFormat/>
    <w:uiPriority w:val="0"/>
    <w:rPr>
      <w:b/>
      <w:kern w:val="2"/>
      <w:sz w:val="30"/>
    </w:rPr>
  </w:style>
  <w:style w:type="character" w:customStyle="1" w:styleId="110">
    <w:name w:val="HTML 地址 Char"/>
    <w:basedOn w:val="77"/>
    <w:link w:val="37"/>
    <w:qFormat/>
    <w:uiPriority w:val="0"/>
    <w:rPr>
      <w:rFonts w:ascii="Times New Roman" w:hAnsi="Times New Roman"/>
      <w:i/>
      <w:kern w:val="2"/>
      <w:sz w:val="21"/>
    </w:rPr>
  </w:style>
  <w:style w:type="character" w:customStyle="1" w:styleId="111">
    <w:name w:val="纯文本 Char"/>
    <w:basedOn w:val="77"/>
    <w:link w:val="41"/>
    <w:qFormat/>
    <w:uiPriority w:val="0"/>
    <w:rPr>
      <w:rFonts w:ascii="宋体" w:hAnsi="Courier New"/>
      <w:kern w:val="2"/>
      <w:sz w:val="21"/>
    </w:rPr>
  </w:style>
  <w:style w:type="character" w:customStyle="1" w:styleId="112">
    <w:name w:val="日期 Char"/>
    <w:basedOn w:val="77"/>
    <w:link w:val="44"/>
    <w:qFormat/>
    <w:uiPriority w:val="0"/>
    <w:rPr>
      <w:rFonts w:ascii="Arial" w:hAnsi="Arial"/>
      <w:kern w:val="2"/>
      <w:sz w:val="21"/>
    </w:rPr>
  </w:style>
  <w:style w:type="character" w:customStyle="1" w:styleId="113">
    <w:name w:val="正文文本缩进 2 Char"/>
    <w:basedOn w:val="77"/>
    <w:link w:val="45"/>
    <w:qFormat/>
    <w:uiPriority w:val="0"/>
    <w:rPr>
      <w:rFonts w:ascii="Times New Roman" w:hAnsi="Times New Roman"/>
      <w:kern w:val="2"/>
      <w:sz w:val="21"/>
    </w:rPr>
  </w:style>
  <w:style w:type="character" w:customStyle="1" w:styleId="114">
    <w:name w:val="尾注文本 Char"/>
    <w:basedOn w:val="77"/>
    <w:link w:val="46"/>
    <w:qFormat/>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qFormat/>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qFormat/>
    <w:uiPriority w:val="0"/>
    <w:rPr>
      <w:rFonts w:ascii="Times New Roman" w:hAnsi="Times New Roman"/>
      <w:kern w:val="2"/>
      <w:sz w:val="18"/>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qFormat/>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着重强调"/>
    <w:qFormat/>
    <w:uiPriority w:val="0"/>
    <w:rPr>
      <w:rFonts w:ascii="Arial" w:hAnsi="Arial"/>
      <w:b/>
      <w:spacing w:val="-4"/>
    </w:rPr>
  </w:style>
  <w:style w:type="character" w:customStyle="1" w:styleId="128">
    <w:name w:val="样式1 正文（首行缩进2字） Char + 首行缩进:  2 字符 段前: 0 行 Char Char"/>
    <w:link w:val="129"/>
    <w:qFormat/>
    <w:uiPriority w:val="0"/>
    <w:rPr>
      <w:rFonts w:hAnsi="Arial"/>
      <w:kern w:val="2"/>
      <w:sz w:val="21"/>
    </w:rPr>
  </w:style>
  <w:style w:type="paragraph" w:customStyle="1" w:styleId="129">
    <w:name w:val="样式1 正文（首行缩进2字） Char + 首行缩进:  2 字符 段前: 0 行"/>
    <w:basedOn w:val="1"/>
    <w:next w:val="1"/>
    <w:link w:val="128"/>
    <w:qFormat/>
    <w:uiPriority w:val="0"/>
    <w:pPr>
      <w:spacing w:line="276" w:lineRule="auto"/>
      <w:ind w:firstLine="420" w:firstLineChars="200"/>
    </w:pPr>
    <w:rPr>
      <w:rFonts w:hAnsi="Arial"/>
    </w:rPr>
  </w:style>
  <w:style w:type="character" w:customStyle="1" w:styleId="130">
    <w:name w:val="上标"/>
    <w:qFormat/>
    <w:uiPriority w:val="0"/>
    <w:rPr>
      <w:b/>
      <w:vertAlign w:val="superscript"/>
    </w:rPr>
  </w:style>
  <w:style w:type="character" w:customStyle="1" w:styleId="131">
    <w:name w:val="SoDA Field"/>
    <w:qFormat/>
    <w:uiPriority w:val="0"/>
    <w:rPr>
      <w:color w:val="0000FF"/>
    </w:rPr>
  </w:style>
  <w:style w:type="character" w:customStyle="1" w:styleId="132">
    <w:name w:val="样式 样式 Times New Roman 首行缩进:  0.74 厘米 段前: 0行 行距1.15 + (符号) Tim... Char Char"/>
    <w:basedOn w:val="133"/>
    <w:link w:val="135"/>
    <w:qFormat/>
    <w:uiPriority w:val="0"/>
  </w:style>
  <w:style w:type="character" w:customStyle="1" w:styleId="133">
    <w:name w:val="样式 Times New Roman 首行缩进:  0.74 厘米 段前: 0.1 行 行距1.15 Char Char"/>
    <w:link w:val="134"/>
    <w:qFormat/>
    <w:uiPriority w:val="0"/>
    <w:rPr>
      <w:rFonts w:hAnsi="宋体"/>
      <w:kern w:val="2"/>
      <w:sz w:val="21"/>
    </w:rPr>
  </w:style>
  <w:style w:type="paragraph" w:customStyle="1" w:styleId="134">
    <w:name w:val="样式 Times New Roman 首行缩进:  0.74 厘米 段前: 0.1 行 行距1.15"/>
    <w:basedOn w:val="1"/>
    <w:link w:val="133"/>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qFormat/>
    <w:uiPriority w:val="0"/>
  </w:style>
  <w:style w:type="character" w:customStyle="1" w:styleId="136">
    <w:name w:val="科东_正文 Char Char"/>
    <w:link w:val="137"/>
    <w:qFormat/>
    <w:uiPriority w:val="0"/>
    <w:rPr>
      <w:kern w:val="2"/>
      <w:sz w:val="24"/>
    </w:rPr>
  </w:style>
  <w:style w:type="paragraph" w:customStyle="1" w:styleId="137">
    <w:name w:val="科东_正文"/>
    <w:basedOn w:val="1"/>
    <w:link w:val="136"/>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qFormat/>
    <w:uiPriority w:val="0"/>
  </w:style>
  <w:style w:type="character" w:customStyle="1" w:styleId="139">
    <w:name w:val="样式1 样式 标题 2 + 段前: 0行 Char Char"/>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qFormat/>
    <w:uiPriority w:val="0"/>
    <w:rPr>
      <w:rFonts w:ascii="Times New Roman" w:hAnsi="Times New Roman"/>
      <w:kern w:val="2"/>
      <w:sz w:val="28"/>
      <w:szCs w:val="24"/>
    </w:rPr>
  </w:style>
  <w:style w:type="paragraph" w:customStyle="1" w:styleId="143">
    <w:name w:val="样式2"/>
    <w:basedOn w:val="144"/>
    <w:link w:val="142"/>
    <w:qFormat/>
    <w:uiPriority w:val="0"/>
  </w:style>
  <w:style w:type="paragraph" w:customStyle="1" w:styleId="144">
    <w:name w:val="样式1"/>
    <w:basedOn w:val="1"/>
    <w:link w:val="145"/>
    <w:qFormat/>
    <w:uiPriority w:val="0"/>
    <w:rPr>
      <w:sz w:val="28"/>
      <w:szCs w:val="24"/>
    </w:rPr>
  </w:style>
  <w:style w:type="character" w:customStyle="1" w:styleId="145">
    <w:name w:val="样式1 Char"/>
    <w:basedOn w:val="77"/>
    <w:link w:val="144"/>
    <w:qFormat/>
    <w:locked/>
    <w:uiPriority w:val="0"/>
    <w:rPr>
      <w:rFonts w:ascii="Times New Roman" w:hAnsi="Times New Roman"/>
      <w:kern w:val="2"/>
      <w:sz w:val="28"/>
      <w:szCs w:val="2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个人撰写风格"/>
    <w:qFormat/>
    <w:uiPriority w:val="0"/>
    <w:rPr>
      <w:rFonts w:ascii="Arial" w:hAnsi="Arial" w:eastAsia="宋体"/>
      <w:color w:val="auto"/>
      <w:sz w:val="20"/>
    </w:rPr>
  </w:style>
  <w:style w:type="character" w:customStyle="1" w:styleId="148">
    <w:name w:val="H1 Char"/>
    <w:qFormat/>
    <w:uiPriority w:val="0"/>
    <w:rPr>
      <w:rFonts w:ascii="Arial" w:hAnsi="Arial" w:eastAsia="黑体"/>
      <w:kern w:val="21"/>
      <w:sz w:val="21"/>
      <w:lang w:val="en-US" w:eastAsia="zh-CN"/>
    </w:rPr>
  </w:style>
  <w:style w:type="character" w:customStyle="1" w:styleId="149">
    <w:name w:val="样式 a首行缩进:  2 字符 段前: 0 行 Char Char"/>
    <w:link w:val="150"/>
    <w:qFormat/>
    <w:uiPriority w:val="0"/>
    <w:rPr>
      <w:sz w:val="21"/>
    </w:rPr>
  </w:style>
  <w:style w:type="paragraph" w:customStyle="1" w:styleId="150">
    <w:name w:val="样式 a首行缩进:  2 字符 段前: 0 行"/>
    <w:basedOn w:val="1"/>
    <w:link w:val="149"/>
    <w:qFormat/>
    <w:uiPriority w:val="0"/>
    <w:pPr>
      <w:adjustRightInd w:val="0"/>
      <w:spacing w:afterLines="50"/>
      <w:jc w:val="left"/>
      <w:textAlignment w:val="baseline"/>
    </w:pPr>
    <w:rPr>
      <w:kern w:val="0"/>
    </w:rPr>
  </w:style>
  <w:style w:type="character" w:customStyle="1" w:styleId="151">
    <w:name w:val="样式1正文（首行缩进两字） Char Char Char"/>
    <w:link w:val="152"/>
    <w:qFormat/>
    <w:uiPriority w:val="0"/>
    <w:rPr>
      <w:kern w:val="2"/>
      <w:sz w:val="21"/>
    </w:rPr>
  </w:style>
  <w:style w:type="paragraph" w:customStyle="1" w:styleId="152">
    <w:name w:val="样式1正文（首行缩进两字） Char"/>
    <w:basedOn w:val="1"/>
    <w:next w:val="1"/>
    <w:link w:val="151"/>
    <w:qFormat/>
    <w:uiPriority w:val="0"/>
    <w:pPr>
      <w:topLinePunct/>
      <w:snapToGrid w:val="0"/>
      <w:spacing w:before="40" w:after="40"/>
      <w:ind w:firstLine="396" w:firstLineChars="200"/>
    </w:pPr>
  </w:style>
  <w:style w:type="character" w:customStyle="1" w:styleId="153">
    <w:name w:val="H3 Char"/>
    <w:qFormat/>
    <w:uiPriority w:val="0"/>
    <w:rPr>
      <w:rFonts w:eastAsia="宋体"/>
      <w:b/>
      <w:kern w:val="2"/>
      <w:sz w:val="32"/>
      <w:lang w:val="en-US" w:eastAsia="zh-CN"/>
    </w:rPr>
  </w:style>
  <w:style w:type="character" w:customStyle="1" w:styleId="154">
    <w:name w:val="纯文本 Char1"/>
    <w:basedOn w:val="77"/>
    <w:semiHidden/>
    <w:qFormat/>
    <w:uiPriority w:val="99"/>
    <w:rPr>
      <w:rFonts w:ascii="宋体" w:hAnsi="Courier New" w:cs="Courier New"/>
      <w:kern w:val="2"/>
      <w:sz w:val="21"/>
      <w:szCs w:val="21"/>
    </w:rPr>
  </w:style>
  <w:style w:type="character" w:customStyle="1" w:styleId="155">
    <w:name w:val="朱2 Char Char"/>
    <w:basedOn w:val="142"/>
    <w:link w:val="156"/>
    <w:qFormat/>
    <w:uiPriority w:val="0"/>
  </w:style>
  <w:style w:type="paragraph" w:customStyle="1" w:styleId="156">
    <w:name w:val="朱2"/>
    <w:basedOn w:val="143"/>
    <w:link w:val="155"/>
    <w:qFormat/>
    <w:uiPriority w:val="0"/>
    <w:pPr>
      <w:topLinePunct/>
      <w:adjustRightInd w:val="0"/>
      <w:spacing w:line="312" w:lineRule="exact"/>
    </w:pPr>
  </w:style>
  <w:style w:type="character" w:customStyle="1" w:styleId="157">
    <w:name w:val="short_text1"/>
    <w:qFormat/>
    <w:uiPriority w:val="0"/>
    <w:rPr>
      <w:sz w:val="29"/>
    </w:rPr>
  </w:style>
  <w:style w:type="character" w:customStyle="1" w:styleId="158">
    <w:name w:val="样式2 Char"/>
    <w:basedOn w:val="77"/>
    <w:qFormat/>
    <w:uiPriority w:val="0"/>
    <w:rPr>
      <w:rFonts w:ascii="EU-F1" w:eastAsia="黑体"/>
      <w:color w:val="000000"/>
      <w:kern w:val="44"/>
      <w:sz w:val="21"/>
      <w:szCs w:val="21"/>
      <w:lang w:val="en-US" w:eastAsia="zh-CN" w:bidi="ar-SA"/>
    </w:rPr>
  </w:style>
  <w:style w:type="character" w:customStyle="1" w:styleId="159">
    <w:name w:val="Reference"/>
    <w:qFormat/>
    <w:uiPriority w:val="0"/>
    <w:rPr>
      <w:rFonts w:ascii="Arial" w:hAnsi="Arial"/>
      <w:sz w:val="20"/>
      <w:lang w:val="en-US" w:eastAsia="zh-CN"/>
    </w:rPr>
  </w:style>
  <w:style w:type="character" w:customStyle="1" w:styleId="160">
    <w:name w:val="批注文字 Char1"/>
    <w:qFormat/>
    <w:uiPriority w:val="0"/>
    <w:rPr>
      <w:sz w:val="24"/>
    </w:rPr>
  </w:style>
  <w:style w:type="character" w:customStyle="1" w:styleId="161">
    <w:name w:val="Char Char2"/>
    <w:qFormat/>
    <w:uiPriority w:val="0"/>
    <w:rPr>
      <w:rFonts w:ascii="Arial" w:hAnsi="Arial" w:eastAsia="宋体"/>
      <w:kern w:val="2"/>
      <w:sz w:val="21"/>
      <w:lang w:val="en-US" w:eastAsia="zh-CN"/>
    </w:rPr>
  </w:style>
  <w:style w:type="character" w:customStyle="1" w:styleId="162">
    <w:name w:val="标语"/>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qFormat/>
    <w:uiPriority w:val="0"/>
  </w:style>
  <w:style w:type="character" w:customStyle="1" w:styleId="164">
    <w:name w:val="样式 正文缩进正文缩进 Char正文（首行缩进两字） Char Char正文（首行缩进两字） Char1正文（首行缩进两...1 Char Char"/>
    <w:link w:val="165"/>
    <w:qFormat/>
    <w:uiPriority w:val="0"/>
    <w:rPr>
      <w:kern w:val="2"/>
      <w:sz w:val="21"/>
    </w:rPr>
  </w:style>
  <w:style w:type="paragraph" w:customStyle="1" w:styleId="165">
    <w:name w:val="样式 正文缩进正文缩进 Char正文（首行缩进两字） Char Char正文（首行缩进两字） Char1正文（首行缩进两...1"/>
    <w:basedOn w:val="1"/>
    <w:link w:val="164"/>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qFormat/>
    <w:uiPriority w:val="0"/>
    <w:pPr>
      <w:spacing w:line="300" w:lineRule="auto"/>
    </w:pPr>
    <w:rPr>
      <w:rFonts w:ascii="Calibri" w:hAnsi="Calibri"/>
    </w:rPr>
  </w:style>
  <w:style w:type="character" w:customStyle="1" w:styleId="167">
    <w:name w:val="正文1 Char"/>
    <w:link w:val="168"/>
    <w:qFormat/>
    <w:uiPriority w:val="0"/>
    <w:rPr>
      <w:rFonts w:ascii="Times New Roman" w:hAnsi="Times New Roman"/>
      <w:kern w:val="2"/>
      <w:sz w:val="28"/>
      <w:szCs w:val="24"/>
    </w:rPr>
  </w:style>
  <w:style w:type="paragraph" w:customStyle="1" w:styleId="168">
    <w:name w:val="正文1"/>
    <w:basedOn w:val="144"/>
    <w:link w:val="167"/>
    <w:qFormat/>
    <w:uiPriority w:val="0"/>
  </w:style>
  <w:style w:type="character" w:customStyle="1" w:styleId="169">
    <w:name w:val="样式 a) Char Char"/>
    <w:link w:val="170"/>
    <w:qFormat/>
    <w:uiPriority w:val="0"/>
    <w:rPr>
      <w:kern w:val="2"/>
      <w:sz w:val="21"/>
    </w:rPr>
  </w:style>
  <w:style w:type="paragraph" w:customStyle="1" w:styleId="170">
    <w:name w:val="样式 a)"/>
    <w:basedOn w:val="1"/>
    <w:next w:val="1"/>
    <w:link w:val="169"/>
    <w:qFormat/>
    <w:uiPriority w:val="0"/>
    <w:pPr>
      <w:tabs>
        <w:tab w:val="left" w:pos="780"/>
      </w:tabs>
      <w:spacing w:beforeLines="10" w:line="312" w:lineRule="auto"/>
      <w:ind w:firstLine="200" w:firstLineChars="200"/>
    </w:pPr>
  </w:style>
  <w:style w:type="character" w:customStyle="1" w:styleId="171">
    <w:name w:val="样式1 Char Char"/>
    <w:basedOn w:val="77"/>
    <w:qFormat/>
    <w:uiPriority w:val="0"/>
    <w:rPr>
      <w:rFonts w:ascii="Times New Roman" w:hAnsi="Times New Roman" w:eastAsia="宋体" w:cs="宋体"/>
      <w:b/>
      <w:kern w:val="44"/>
      <w:sz w:val="52"/>
      <w:szCs w:val="52"/>
    </w:rPr>
  </w:style>
  <w:style w:type="character" w:customStyle="1" w:styleId="172">
    <w:name w:val="明显参考1"/>
    <w:basedOn w:val="77"/>
    <w:qFormat/>
    <w:uiPriority w:val="99"/>
    <w:rPr>
      <w:rFonts w:cs="Times New Roman"/>
      <w:b/>
      <w:bCs/>
      <w:smallCaps/>
      <w:color w:val="C0504D"/>
      <w:spacing w:val="5"/>
      <w:u w:val="single"/>
    </w:rPr>
  </w:style>
  <w:style w:type="character" w:customStyle="1" w:styleId="173">
    <w:name w:val="样式 a首行缩进:  0 字符 段前: 0 行 + 黑体 Char Char"/>
    <w:link w:val="174"/>
    <w:qFormat/>
    <w:uiPriority w:val="0"/>
    <w:rPr>
      <w:rFonts w:eastAsia="黑体"/>
      <w:sz w:val="21"/>
    </w:rPr>
  </w:style>
  <w:style w:type="paragraph" w:customStyle="1" w:styleId="174">
    <w:name w:val="样式 a首行缩进:  0 字符 段前: 0 行 + 黑体"/>
    <w:basedOn w:val="150"/>
    <w:link w:val="173"/>
    <w:qFormat/>
    <w:uiPriority w:val="0"/>
    <w:rPr>
      <w:rFonts w:eastAsia="黑体"/>
    </w:rPr>
  </w:style>
  <w:style w:type="character" w:customStyle="1" w:styleId="175">
    <w:name w:val="Lincer表格样式 Char Char"/>
    <w:link w:val="176"/>
    <w:qFormat/>
    <w:uiPriority w:val="0"/>
    <w:rPr>
      <w:kern w:val="2"/>
      <w:sz w:val="21"/>
    </w:rPr>
  </w:style>
  <w:style w:type="paragraph" w:customStyle="1" w:styleId="176">
    <w:name w:val="Lincer表格样式"/>
    <w:basedOn w:val="1"/>
    <w:link w:val="175"/>
    <w:qFormat/>
    <w:uiPriority w:val="0"/>
    <w:pPr>
      <w:ind w:left="344" w:hanging="344" w:hangingChars="164"/>
    </w:pPr>
  </w:style>
  <w:style w:type="character" w:customStyle="1" w:styleId="177">
    <w:name w:val="msoins"/>
    <w:qFormat/>
    <w:uiPriority w:val="0"/>
    <w:rPr>
      <w:u w:val="single"/>
    </w:rPr>
  </w:style>
  <w:style w:type="character" w:customStyle="1" w:styleId="178">
    <w:name w:val="样式 正文（首行缩进两字） Char + Times New Roman Char Char"/>
    <w:basedOn w:val="151"/>
    <w:link w:val="179"/>
    <w:qFormat/>
    <w:uiPriority w:val="0"/>
  </w:style>
  <w:style w:type="paragraph" w:customStyle="1" w:styleId="179">
    <w:name w:val="样式 正文（首行缩进两字） Char + Times New Roman"/>
    <w:basedOn w:val="152"/>
    <w:link w:val="178"/>
    <w:qFormat/>
    <w:uiPriority w:val="0"/>
    <w:pPr>
      <w:ind w:firstLine="0" w:firstLineChars="0"/>
      <w:jc w:val="center"/>
    </w:pPr>
    <w:rPr>
      <w:rFonts w:ascii="Calibri" w:hAnsi="Calibri"/>
    </w:rPr>
  </w:style>
  <w:style w:type="character" w:customStyle="1" w:styleId="180">
    <w:name w:val="_标准条文 Char Char"/>
    <w:link w:val="181"/>
    <w:qFormat/>
    <w:uiPriority w:val="0"/>
    <w:rPr>
      <w:rFonts w:ascii="Arial" w:hAnsi="Arial"/>
      <w:kern w:val="2"/>
      <w:sz w:val="21"/>
    </w:rPr>
  </w:style>
  <w:style w:type="paragraph" w:customStyle="1" w:styleId="181">
    <w:name w:val="_标准条文"/>
    <w:basedOn w:val="1"/>
    <w:link w:val="180"/>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qFormat/>
    <w:uiPriority w:val="0"/>
    <w:rPr>
      <w:rFonts w:ascii="Arial" w:hAnsi="Arial" w:eastAsia="宋体"/>
      <w:sz w:val="18"/>
      <w:lang w:val="en-US" w:eastAsia="zh-CN"/>
    </w:rPr>
  </w:style>
  <w:style w:type="character" w:customStyle="1" w:styleId="183">
    <w:name w:val="style251"/>
    <w:qFormat/>
    <w:uiPriority w:val="0"/>
    <w:rPr>
      <w:rFonts w:eastAsia="宋体"/>
      <w:kern w:val="2"/>
      <w:sz w:val="21"/>
      <w:lang w:val="en-US" w:eastAsia="zh-CN"/>
    </w:rPr>
  </w:style>
  <w:style w:type="character" w:customStyle="1" w:styleId="184">
    <w:name w:val="样式1 悬挂缩进: 4 字符 段前: 0.1 行，小五 Char Char"/>
    <w:link w:val="185"/>
    <w:qFormat/>
    <w:uiPriority w:val="0"/>
    <w:rPr>
      <w:kern w:val="2"/>
      <w:sz w:val="18"/>
    </w:rPr>
  </w:style>
  <w:style w:type="paragraph" w:customStyle="1" w:styleId="185">
    <w:name w:val="样式1 悬挂缩进: 4 字符 段前: 0.1 行，小五"/>
    <w:basedOn w:val="1"/>
    <w:link w:val="184"/>
    <w:qFormat/>
    <w:uiPriority w:val="0"/>
    <w:pPr>
      <w:spacing w:beforeLines="10" w:line="312" w:lineRule="auto"/>
      <w:ind w:left="400" w:leftChars="400"/>
    </w:pPr>
    <w:rPr>
      <w:sz w:val="18"/>
    </w:rPr>
  </w:style>
  <w:style w:type="character" w:customStyle="1" w:styleId="186">
    <w:name w:val="附录三 Char Char"/>
    <w:link w:val="187"/>
    <w:qFormat/>
    <w:uiPriority w:val="0"/>
    <w:rPr>
      <w:rFonts w:ascii="E-F1" w:eastAsia="黑体"/>
      <w:kern w:val="21"/>
      <w:sz w:val="21"/>
    </w:rPr>
  </w:style>
  <w:style w:type="paragraph" w:customStyle="1" w:styleId="187">
    <w:name w:val="附录三"/>
    <w:basedOn w:val="1"/>
    <w:link w:val="186"/>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qFormat/>
    <w:uiPriority w:val="0"/>
    <w:rPr>
      <w:rFonts w:eastAsia="黑体"/>
      <w:kern w:val="44"/>
      <w:sz w:val="28"/>
      <w:szCs w:val="28"/>
      <w:lang w:val="en-US" w:eastAsia="zh-CN" w:bidi="ar-SA"/>
    </w:rPr>
  </w:style>
  <w:style w:type="character" w:customStyle="1" w:styleId="189">
    <w:name w:val="个人答复风格"/>
    <w:qFormat/>
    <w:uiPriority w:val="0"/>
    <w:rPr>
      <w:rFonts w:ascii="Arial" w:hAnsi="Arial" w:eastAsia="宋体"/>
      <w:color w:val="auto"/>
      <w:sz w:val="20"/>
    </w:rPr>
  </w:style>
  <w:style w:type="character" w:customStyle="1" w:styleId="190">
    <w:name w:val="表头 Char"/>
    <w:basedOn w:val="77"/>
    <w:link w:val="191"/>
    <w:qFormat/>
    <w:uiPriority w:val="0"/>
    <w:rPr>
      <w:rFonts w:ascii="Times New Roman" w:hAnsi="Times New Roman" w:eastAsia="黑体"/>
      <w:kern w:val="2"/>
      <w:sz w:val="21"/>
      <w:szCs w:val="21"/>
    </w:rPr>
  </w:style>
  <w:style w:type="paragraph" w:customStyle="1" w:styleId="191">
    <w:name w:val="表头"/>
    <w:basedOn w:val="1"/>
    <w:link w:val="190"/>
    <w:qFormat/>
    <w:uiPriority w:val="0"/>
    <w:pPr>
      <w:topLinePunct/>
      <w:spacing w:before="160" w:after="60"/>
      <w:jc w:val="center"/>
    </w:pPr>
    <w:rPr>
      <w:rFonts w:eastAsia="黑体"/>
      <w:szCs w:val="21"/>
    </w:rPr>
  </w:style>
  <w:style w:type="character" w:customStyle="1" w:styleId="192">
    <w:name w:val="H2 Char"/>
    <w:qFormat/>
    <w:uiPriority w:val="0"/>
    <w:rPr>
      <w:rFonts w:ascii="Arial" w:hAnsi="Arial" w:eastAsia="黑体"/>
      <w:b/>
      <w:kern w:val="2"/>
      <w:sz w:val="32"/>
      <w:lang w:val="en-US" w:eastAsia="zh-CN"/>
    </w:rPr>
  </w:style>
  <w:style w:type="character" w:customStyle="1" w:styleId="193">
    <w:name w:val="样式 标题 1 + 加粗 Char"/>
    <w:basedOn w:val="95"/>
    <w:qFormat/>
    <w:uiPriority w:val="0"/>
    <w:rPr>
      <w:rFonts w:eastAsia="黑体"/>
      <w:b/>
      <w:bCs/>
      <w:sz w:val="28"/>
      <w:szCs w:val="28"/>
      <w:lang w:val="en-US" w:eastAsia="zh-CN" w:bidi="ar-SA"/>
    </w:rPr>
  </w:style>
  <w:style w:type="character" w:customStyle="1" w:styleId="194">
    <w:name w:val="发布"/>
    <w:qFormat/>
    <w:uiPriority w:val="0"/>
    <w:rPr>
      <w:rFonts w:ascii="黑体" w:eastAsia="黑体"/>
      <w:spacing w:val="22"/>
      <w:w w:val="100"/>
      <w:position w:val="3"/>
      <w:sz w:val="28"/>
    </w:rPr>
  </w:style>
  <w:style w:type="character" w:customStyle="1" w:styleId="195">
    <w:name w:val="正文文本 3 Char1"/>
    <w:basedOn w:val="77"/>
    <w:semiHidden/>
    <w:qFormat/>
    <w:uiPriority w:val="99"/>
    <w:rPr>
      <w:rFonts w:ascii="Times New Roman" w:hAnsi="Times New Roman"/>
      <w:kern w:val="2"/>
      <w:sz w:val="16"/>
      <w:szCs w:val="16"/>
    </w:rPr>
  </w:style>
  <w:style w:type="character" w:customStyle="1" w:styleId="196">
    <w:name w:val="样式 标题 1 + 加粗 Char Char"/>
    <w:basedOn w:val="188"/>
    <w:qFormat/>
    <w:uiPriority w:val="0"/>
    <w:rPr>
      <w:b/>
      <w:bCs/>
    </w:rPr>
  </w:style>
  <w:style w:type="character" w:customStyle="1" w:styleId="197">
    <w:name w:val="表格条文首行缩进 Char Char"/>
    <w:link w:val="198"/>
    <w:qFormat/>
    <w:uiPriority w:val="0"/>
    <w:rPr>
      <w:rFonts w:ascii="宋体" w:hAnsi="宋体"/>
      <w:sz w:val="24"/>
    </w:rPr>
  </w:style>
  <w:style w:type="paragraph" w:customStyle="1" w:styleId="198">
    <w:name w:val="表格条文首行缩进"/>
    <w:basedOn w:val="1"/>
    <w:link w:val="197"/>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qFormat/>
    <w:uiPriority w:val="0"/>
    <w:rPr>
      <w:rFonts w:eastAsia="黑体"/>
      <w:kern w:val="2"/>
      <w:sz w:val="21"/>
      <w:szCs w:val="21"/>
      <w:lang w:val="en-US" w:eastAsia="zh-CN" w:bidi="ar-SA"/>
    </w:rPr>
  </w:style>
  <w:style w:type="character" w:customStyle="1" w:styleId="200">
    <w:name w:val="short_text"/>
    <w:basedOn w:val="77"/>
    <w:qFormat/>
    <w:uiPriority w:val="0"/>
  </w:style>
  <w:style w:type="character" w:customStyle="1" w:styleId="201">
    <w:name w:val="段 Char Char"/>
    <w:basedOn w:val="77"/>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qFormat/>
    <w:uiPriority w:val="0"/>
    <w:rPr>
      <w:rFonts w:ascii="Arial" w:hAnsi="Arial" w:eastAsia="黑体"/>
      <w:kern w:val="2"/>
      <w:sz w:val="21"/>
    </w:rPr>
  </w:style>
  <w:style w:type="paragraph" w:customStyle="1" w:styleId="204">
    <w:name w:val="附录标题2"/>
    <w:basedOn w:val="4"/>
    <w:next w:val="73"/>
    <w:link w:val="203"/>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样式 标题 2 + 段前: 0.1 行 Char Char"/>
    <w:link w:val="207"/>
    <w:qFormat/>
    <w:uiPriority w:val="0"/>
    <w:rPr>
      <w:b/>
      <w:kern w:val="2"/>
      <w:sz w:val="21"/>
    </w:rPr>
  </w:style>
  <w:style w:type="paragraph" w:customStyle="1" w:styleId="207">
    <w:name w:val="样式 标题 2 + 段前: 0.1 行"/>
    <w:basedOn w:val="4"/>
    <w:link w:val="20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qFormat/>
    <w:uiPriority w:val="0"/>
  </w:style>
  <w:style w:type="character" w:customStyle="1" w:styleId="209">
    <w:name w:val="样式 正文（首行缩进两字） Char + 加粗 Char Char"/>
    <w:qFormat/>
    <w:uiPriority w:val="0"/>
    <w:rPr>
      <w:rFonts w:eastAsia="宋体"/>
      <w:b/>
      <w:kern w:val="2"/>
      <w:sz w:val="21"/>
      <w:lang w:val="en-US" w:eastAsia="zh-CN"/>
    </w:rPr>
  </w:style>
  <w:style w:type="character" w:customStyle="1" w:styleId="210">
    <w:name w:val="样式 宋体"/>
    <w:qFormat/>
    <w:uiPriority w:val="0"/>
    <w:rPr>
      <w:rFonts w:ascii="宋体" w:eastAsia="宋体"/>
      <w:sz w:val="18"/>
    </w:rPr>
  </w:style>
  <w:style w:type="paragraph" w:customStyle="1" w:styleId="211">
    <w:name w:val="样式 Times New Roman 首行缩进:  0.74 厘米 段前: 0.1 行"/>
    <w:basedOn w:val="1"/>
    <w:qFormat/>
    <w:uiPriority w:val="0"/>
    <w:pPr>
      <w:spacing w:beforeLines="10" w:line="312" w:lineRule="auto"/>
      <w:ind w:firstLine="420"/>
    </w:pPr>
    <w:rPr>
      <w:b/>
    </w:rPr>
  </w:style>
  <w:style w:type="paragraph" w:customStyle="1" w:styleId="212">
    <w:name w:val="样式1 加粗 居中 首行缩进:  0.74 厘米 段前: 0.1 行"/>
    <w:basedOn w:val="1"/>
    <w:qFormat/>
    <w:uiPriority w:val="0"/>
    <w:pPr>
      <w:spacing w:line="276" w:lineRule="auto"/>
      <w:ind w:firstLine="420"/>
      <w:jc w:val="center"/>
    </w:pPr>
    <w:rPr>
      <w:b/>
    </w:rPr>
  </w:style>
  <w:style w:type="paragraph" w:customStyle="1" w:styleId="213">
    <w:name w:val="四级无标题条"/>
    <w:basedOn w:val="1"/>
    <w:qFormat/>
    <w:uiPriority w:val="0"/>
    <w:pPr>
      <w:numPr>
        <w:ilvl w:val="5"/>
        <w:numId w:val="1"/>
      </w:numPr>
    </w:pPr>
    <w:rPr>
      <w:rFonts w:eastAsia="黑体"/>
      <w:b/>
    </w:rPr>
  </w:style>
  <w:style w:type="paragraph" w:customStyle="1" w:styleId="214">
    <w:name w:val="_图表编号"/>
    <w:basedOn w:val="22"/>
    <w:next w:val="181"/>
    <w:qFormat/>
    <w:uiPriority w:val="0"/>
    <w:pPr>
      <w:snapToGrid w:val="0"/>
      <w:spacing w:beforeLines="15" w:afterLines="15"/>
      <w:jc w:val="center"/>
    </w:pPr>
    <w:rPr>
      <w:sz w:val="21"/>
    </w:rPr>
  </w:style>
  <w:style w:type="paragraph" w:customStyle="1" w:styleId="215">
    <w:name w:val="列项——（一级）"/>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qFormat/>
    <w:uiPriority w:val="0"/>
    <w:pPr>
      <w:spacing w:after="200"/>
    </w:pPr>
    <w:rPr>
      <w:sz w:val="21"/>
    </w:rPr>
  </w:style>
  <w:style w:type="paragraph" w:customStyle="1" w:styleId="22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qFormat/>
    <w:uiPriority w:val="0"/>
    <w:pPr>
      <w:spacing w:line="276" w:lineRule="auto"/>
    </w:pPr>
  </w:style>
  <w:style w:type="paragraph" w:customStyle="1" w:styleId="222">
    <w:name w:val="样式 样式 段前: 0.1 行 + 段前: 0.1 行"/>
    <w:basedOn w:val="223"/>
    <w:qFormat/>
    <w:uiPriority w:val="0"/>
    <w:pPr>
      <w:ind w:left="200" w:leftChars="200"/>
    </w:pPr>
  </w:style>
  <w:style w:type="paragraph" w:customStyle="1" w:styleId="223">
    <w:name w:val="样式 段前: 0.1 行"/>
    <w:basedOn w:val="1"/>
    <w:qFormat/>
    <w:uiPriority w:val="0"/>
    <w:pPr>
      <w:spacing w:beforeLines="10" w:line="300" w:lineRule="auto"/>
    </w:pPr>
  </w:style>
  <w:style w:type="paragraph" w:customStyle="1" w:styleId="224">
    <w:name w:val="目次、标准名称标题"/>
    <w:basedOn w:val="220"/>
    <w:next w:val="202"/>
    <w:qFormat/>
    <w:uiPriority w:val="0"/>
    <w:pPr>
      <w:spacing w:line="460" w:lineRule="exact"/>
    </w:pPr>
  </w:style>
  <w:style w:type="paragraph" w:customStyle="1" w:styleId="225">
    <w:name w:val="1"/>
    <w:basedOn w:val="1"/>
    <w:next w:val="1"/>
    <w:qFormat/>
    <w:uiPriority w:val="0"/>
    <w:pPr>
      <w:topLinePunct/>
      <w:adjustRightInd w:val="0"/>
    </w:pPr>
    <w:rPr>
      <w:rFonts w:ascii="Courier New" w:hAnsi="Courier New"/>
      <w:sz w:val="20"/>
    </w:rPr>
  </w:style>
  <w:style w:type="paragraph" w:customStyle="1" w:styleId="226">
    <w:name w:val="样式 样式 正文缩进 + 首行缩进:  0 厘米1 +"/>
    <w:basedOn w:val="1"/>
    <w:qFormat/>
    <w:uiPriority w:val="0"/>
    <w:pPr>
      <w:spacing w:beforeLines="10"/>
    </w:pPr>
    <w:rPr>
      <w:kern w:val="0"/>
      <w:sz w:val="18"/>
    </w:rPr>
  </w:style>
  <w:style w:type="paragraph" w:customStyle="1" w:styleId="227">
    <w:name w:val="附录标题1"/>
    <w:basedOn w:val="3"/>
    <w:next w:val="204"/>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qFormat/>
    <w:uiPriority w:val="0"/>
    <w:pPr>
      <w:topLinePunct/>
      <w:ind w:firstLine="420" w:firstLineChars="200"/>
    </w:pPr>
    <w:rPr>
      <w:rFonts w:ascii="宋体" w:hAnsi="宋体"/>
      <w:bCs/>
      <w:szCs w:val="21"/>
    </w:rPr>
  </w:style>
  <w:style w:type="paragraph" w:customStyle="1" w:styleId="230">
    <w:name w:val="公司名"/>
    <w:basedOn w:val="231"/>
    <w:qFormat/>
    <w:uiPriority w:val="0"/>
    <w:pPr>
      <w:spacing w:before="0"/>
    </w:pPr>
  </w:style>
  <w:style w:type="paragraph" w:customStyle="1" w:styleId="231">
    <w:name w:val="_标准名称"/>
    <w:basedOn w:val="1"/>
    <w:next w:val="30"/>
    <w:qFormat/>
    <w:uiPriority w:val="0"/>
    <w:pPr>
      <w:snapToGrid w:val="0"/>
      <w:spacing w:before="567" w:after="680"/>
      <w:jc w:val="center"/>
    </w:pPr>
    <w:rPr>
      <w:rFonts w:ascii="Arial" w:hAnsi="Arial" w:eastAsia="黑体"/>
      <w:sz w:val="32"/>
    </w:rPr>
  </w:style>
  <w:style w:type="paragraph" w:customStyle="1" w:styleId="232">
    <w:name w:val="Normal_0_0"/>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qFormat/>
    <w:uiPriority w:val="0"/>
    <w:pPr>
      <w:ind w:left="400" w:leftChars="200"/>
    </w:pPr>
  </w:style>
  <w:style w:type="paragraph" w:customStyle="1" w:styleId="236">
    <w:name w:val="样式1 样式 编号 a + Times New Roman 段前: 0 行 行距: 多倍行距 1.15 字行 + 左侧... + ..."/>
    <w:basedOn w:val="237"/>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qFormat/>
    <w:uiPriority w:val="0"/>
    <w:pPr>
      <w:spacing w:before="24" w:afterLines="10"/>
      <w:ind w:firstLine="0" w:firstLineChars="0"/>
    </w:pPr>
  </w:style>
  <w:style w:type="paragraph" w:customStyle="1" w:styleId="238">
    <w:name w:val="样式1-4 Times New Roman行距: 多倍行距 1.15 字行 + 左侧:  4 字符"/>
    <w:basedOn w:val="239"/>
    <w:qFormat/>
    <w:uiPriority w:val="0"/>
    <w:pPr>
      <w:tabs>
        <w:tab w:val="left" w:pos="315"/>
      </w:tabs>
      <w:ind w:left="840" w:leftChars="400"/>
    </w:pPr>
  </w:style>
  <w:style w:type="paragraph" w:customStyle="1" w:styleId="239">
    <w:name w:val="样式 Times New Roman 段前: 0.1 行 行距: 多倍行距 1.2 字行"/>
    <w:basedOn w:val="1"/>
    <w:qFormat/>
    <w:uiPriority w:val="0"/>
    <w:pPr>
      <w:spacing w:line="276" w:lineRule="auto"/>
      <w:ind w:left="420" w:leftChars="200"/>
    </w:pPr>
  </w:style>
  <w:style w:type="paragraph" w:customStyle="1" w:styleId="240">
    <w:name w:val="样式 样式 首行缩进:  0.77 厘米 段前: 0.1 行 + 首行缩进:  2 字符 段前: 0.1 行"/>
    <w:basedOn w:val="1"/>
    <w:qFormat/>
    <w:uiPriority w:val="0"/>
    <w:pPr>
      <w:spacing w:line="276" w:lineRule="auto"/>
      <w:ind w:firstLine="200" w:firstLineChars="200"/>
    </w:pPr>
  </w:style>
  <w:style w:type="paragraph" w:customStyle="1" w:styleId="241">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qFormat/>
    <w:uiPriority w:val="0"/>
    <w:pPr>
      <w:widowControl/>
      <w:spacing w:line="220" w:lineRule="atLeast"/>
      <w:ind w:left="360"/>
      <w:jc w:val="left"/>
    </w:pPr>
    <w:rPr>
      <w:rFonts w:ascii="Arial" w:hAnsi="Arial"/>
      <w:kern w:val="0"/>
    </w:rPr>
  </w:style>
  <w:style w:type="paragraph" w:customStyle="1" w:styleId="244">
    <w:name w:val="二级条标题"/>
    <w:basedOn w:val="245"/>
    <w:next w:val="1"/>
    <w:qFormat/>
    <w:uiPriority w:val="0"/>
    <w:pPr>
      <w:numPr>
        <w:ilvl w:val="3"/>
        <w:numId w:val="4"/>
      </w:numPr>
      <w:tabs>
        <w:tab w:val="left" w:pos="-1080"/>
      </w:tabs>
      <w:outlineLvl w:val="3"/>
    </w:pPr>
  </w:style>
  <w:style w:type="paragraph" w:customStyle="1" w:styleId="245">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qFormat/>
    <w:uiPriority w:val="0"/>
  </w:style>
  <w:style w:type="paragraph" w:customStyle="1" w:styleId="248">
    <w:name w:val="样式 正文（首行缩进两字） Char + 首行缩进:  2 字符 段前: 0.1 行"/>
    <w:basedOn w:val="152"/>
    <w:qFormat/>
    <w:uiPriority w:val="0"/>
    <w:pPr>
      <w:spacing w:afterLines="10" w:line="300" w:lineRule="auto"/>
      <w:ind w:firstLine="200"/>
    </w:pPr>
  </w:style>
  <w:style w:type="paragraph" w:customStyle="1" w:styleId="24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qFormat/>
    <w:uiPriority w:val="0"/>
    <w:pPr>
      <w:ind w:firstLine="200" w:firstLineChars="200"/>
    </w:pPr>
    <w:rPr>
      <w:szCs w:val="21"/>
    </w:rPr>
  </w:style>
  <w:style w:type="paragraph" w:customStyle="1" w:styleId="251">
    <w:name w:val="附录标识"/>
    <w:basedOn w:val="220"/>
    <w:qFormat/>
    <w:uiPriority w:val="0"/>
    <w:pPr>
      <w:tabs>
        <w:tab w:val="left" w:pos="6405"/>
      </w:tabs>
      <w:spacing w:after="200"/>
    </w:pPr>
    <w:rPr>
      <w:sz w:val="21"/>
    </w:rPr>
  </w:style>
  <w:style w:type="paragraph" w:customStyle="1" w:styleId="252">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qFormat/>
    <w:uiPriority w:val="0"/>
    <w:pPr>
      <w:spacing w:line="320" w:lineRule="atLeast"/>
    </w:pPr>
    <w:rPr>
      <w:rFonts w:ascii="Times New Roman"/>
      <w:color w:val="auto"/>
    </w:rPr>
  </w:style>
  <w:style w:type="paragraph" w:customStyle="1" w:styleId="2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qFormat/>
    <w:uiPriority w:val="0"/>
    <w:pPr>
      <w:outlineLvl w:val="5"/>
    </w:pPr>
  </w:style>
  <w:style w:type="paragraph" w:customStyle="1" w:styleId="256">
    <w:name w:val="附录三级条标题"/>
    <w:basedOn w:val="257"/>
    <w:next w:val="202"/>
    <w:qFormat/>
    <w:uiPriority w:val="0"/>
    <w:pPr>
      <w:outlineLvl w:val="4"/>
    </w:pPr>
  </w:style>
  <w:style w:type="paragraph" w:customStyle="1" w:styleId="257">
    <w:name w:val="附录二级条标题"/>
    <w:basedOn w:val="258"/>
    <w:next w:val="202"/>
    <w:qFormat/>
    <w:uiPriority w:val="0"/>
    <w:pPr>
      <w:outlineLvl w:val="3"/>
    </w:pPr>
  </w:style>
  <w:style w:type="paragraph" w:customStyle="1" w:styleId="258">
    <w:name w:val="附录一级条标题"/>
    <w:basedOn w:val="259"/>
    <w:next w:val="202"/>
    <w:qFormat/>
    <w:uiPriority w:val="0"/>
    <w:pPr>
      <w:autoSpaceDN w:val="0"/>
      <w:spacing w:beforeLines="0" w:afterLines="0"/>
      <w:outlineLvl w:val="2"/>
    </w:pPr>
  </w:style>
  <w:style w:type="paragraph" w:customStyle="1" w:styleId="25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qFormat/>
    <w:uiPriority w:val="0"/>
    <w:pPr>
      <w:keepLines w:val="0"/>
      <w:tabs>
        <w:tab w:val="left" w:pos="210"/>
      </w:tabs>
      <w:spacing w:beforeLines="0" w:line="276" w:lineRule="auto"/>
    </w:pPr>
  </w:style>
  <w:style w:type="paragraph" w:customStyle="1" w:styleId="26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qFormat/>
    <w:uiPriority w:val="0"/>
    <w:pPr>
      <w:tabs>
        <w:tab w:val="left" w:pos="420"/>
        <w:tab w:val="left" w:pos="735"/>
        <w:tab w:val="left" w:pos="1575"/>
      </w:tabs>
      <w:ind w:left="1575"/>
    </w:pPr>
  </w:style>
  <w:style w:type="paragraph" w:customStyle="1" w:styleId="267">
    <w:name w:val="术语定义条标题"/>
    <w:basedOn w:val="268"/>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qFormat/>
    <w:uiPriority w:val="0"/>
    <w:pPr>
      <w:spacing w:afterLines="10" w:line="300" w:lineRule="auto"/>
      <w:ind w:firstLine="200"/>
    </w:pPr>
    <w:rPr>
      <w:rFonts w:ascii="宋体" w:hAnsi="宋体"/>
      <w:b/>
    </w:rPr>
  </w:style>
  <w:style w:type="paragraph" w:customStyle="1" w:styleId="270">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qFormat/>
    <w:uiPriority w:val="0"/>
    <w:pPr>
      <w:ind w:left="400" w:leftChars="200"/>
    </w:pPr>
  </w:style>
  <w:style w:type="paragraph" w:customStyle="1" w:styleId="275">
    <w:name w:val="部分题目"/>
    <w:basedOn w:val="276"/>
    <w:next w:val="277"/>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qFormat/>
    <w:uiPriority w:val="0"/>
    <w:pPr>
      <w:spacing w:before="1800" w:line="240" w:lineRule="atLeast"/>
      <w:jc w:val="center"/>
    </w:pPr>
    <w:rPr>
      <w:rFonts w:ascii="黑体" w:eastAsia="黑体"/>
      <w:b/>
      <w:spacing w:val="0"/>
      <w:sz w:val="52"/>
    </w:rPr>
  </w:style>
  <w:style w:type="paragraph" w:customStyle="1" w:styleId="28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qFormat/>
    <w:uiPriority w:val="0"/>
    <w:pPr>
      <w:jc w:val="right"/>
    </w:pPr>
  </w:style>
  <w:style w:type="paragraph" w:customStyle="1" w:styleId="28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qFormat/>
    <w:uiPriority w:val="0"/>
    <w:pPr>
      <w:spacing w:beforeLines="10" w:line="312" w:lineRule="auto"/>
    </w:pPr>
  </w:style>
  <w:style w:type="paragraph" w:customStyle="1" w:styleId="288">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qFormat/>
    <w:uiPriority w:val="0"/>
    <w:pPr>
      <w:spacing w:line="360" w:lineRule="auto"/>
      <w:ind w:firstLine="200" w:firstLineChars="200"/>
    </w:pPr>
  </w:style>
  <w:style w:type="paragraph" w:customStyle="1" w:styleId="290">
    <w:name w:val="样式 样式 标题 1 + 段前: 0.7 行 段后: 0.7 行"/>
    <w:basedOn w:val="271"/>
    <w:qFormat/>
    <w:uiPriority w:val="0"/>
    <w:pPr>
      <w:tabs>
        <w:tab w:val="left" w:pos="340"/>
        <w:tab w:val="clear" w:pos="360"/>
      </w:tabs>
      <w:spacing w:beforeLines="100" w:afterLines="100"/>
    </w:pPr>
  </w:style>
  <w:style w:type="paragraph" w:customStyle="1" w:styleId="291">
    <w:name w:val="样式 标题 3 + 宋体 段前: 0.1 行"/>
    <w:basedOn w:val="292"/>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qFormat/>
    <w:uiPriority w:val="0"/>
    <w:pPr>
      <w:spacing w:line="276" w:lineRule="auto"/>
    </w:pPr>
  </w:style>
  <w:style w:type="paragraph" w:customStyle="1" w:styleId="294">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qFormat/>
    <w:uiPriority w:val="0"/>
    <w:pPr>
      <w:spacing w:afterLines="10"/>
      <w:ind w:firstLine="200"/>
    </w:pPr>
  </w:style>
  <w:style w:type="paragraph" w:customStyle="1" w:styleId="300">
    <w:name w:val="样式 样式 标题 3H3l3CT小标题中h3sect1.2.33rd level3Head 3level_3PI... + 段前..."/>
    <w:basedOn w:val="301"/>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qFormat/>
    <w:uiPriority w:val="0"/>
  </w:style>
  <w:style w:type="paragraph" w:customStyle="1" w:styleId="303">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qFormat/>
    <w:uiPriority w:val="0"/>
    <w:pPr>
      <w:topLinePunct w:val="0"/>
      <w:adjustRightInd/>
      <w:snapToGrid w:val="0"/>
      <w:spacing w:before="360" w:after="680"/>
    </w:pPr>
    <w:rPr>
      <w:rFonts w:eastAsia="黑体"/>
      <w:b w:val="0"/>
      <w:sz w:val="48"/>
    </w:rPr>
  </w:style>
  <w:style w:type="paragraph" w:customStyle="1" w:styleId="308">
    <w:name w:val=".."/>
    <w:basedOn w:val="254"/>
    <w:next w:val="254"/>
    <w:qFormat/>
    <w:uiPriority w:val="0"/>
    <w:rPr>
      <w:color w:val="auto"/>
    </w:rPr>
  </w:style>
  <w:style w:type="paragraph" w:customStyle="1" w:styleId="309">
    <w:name w:val="术语定义五级条标题"/>
    <w:basedOn w:val="268"/>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qFormat/>
    <w:uiPriority w:val="0"/>
    <w:pPr>
      <w:spacing w:beforeLines="0"/>
      <w:ind w:hanging="6"/>
      <w:jc w:val="center"/>
    </w:pPr>
  </w:style>
  <w:style w:type="paragraph" w:customStyle="1" w:styleId="312">
    <w:name w:val="样式 正文文本 2 + 段前: 0.1 行"/>
    <w:basedOn w:val="66"/>
    <w:qFormat/>
    <w:uiPriority w:val="0"/>
    <w:pPr>
      <w:spacing w:beforeLines="10" w:after="0" w:line="264" w:lineRule="auto"/>
      <w:jc w:val="left"/>
    </w:pPr>
    <w:rPr>
      <w:sz w:val="18"/>
    </w:rPr>
  </w:style>
  <w:style w:type="paragraph" w:customStyle="1" w:styleId="313">
    <w:name w:val="a.a.a"/>
    <w:basedOn w:val="1"/>
    <w:qFormat/>
    <w:uiPriority w:val="0"/>
    <w:pPr>
      <w:spacing w:beforeLines="50" w:afterLines="50"/>
      <w:jc w:val="left"/>
      <w:outlineLvl w:val="2"/>
    </w:pPr>
    <w:rPr>
      <w:rFonts w:ascii="黑体" w:hAnsi="宋体" w:eastAsia="黑体"/>
      <w:sz w:val="24"/>
    </w:rPr>
  </w:style>
  <w:style w:type="paragraph" w:customStyle="1" w:styleId="314">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qFormat/>
    <w:uiPriority w:val="0"/>
    <w:pPr>
      <w:numPr>
        <w:ilvl w:val="3"/>
        <w:numId w:val="1"/>
      </w:numPr>
    </w:pPr>
    <w:rPr>
      <w:b/>
    </w:rPr>
  </w:style>
  <w:style w:type="paragraph" w:customStyle="1" w:styleId="319">
    <w:name w:val="三级无标题条"/>
    <w:basedOn w:val="1"/>
    <w:qFormat/>
    <w:uiPriority w:val="0"/>
    <w:pPr>
      <w:numPr>
        <w:ilvl w:val="4"/>
        <w:numId w:val="1"/>
      </w:numPr>
    </w:pPr>
    <w:rPr>
      <w:b/>
    </w:rPr>
  </w:style>
  <w:style w:type="paragraph" w:customStyle="1" w:styleId="320">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21">
    <w:name w:val="_列表编号1"/>
    <w:basedOn w:val="20"/>
    <w:qFormat/>
    <w:uiPriority w:val="0"/>
    <w:pPr>
      <w:tabs>
        <w:tab w:val="left" w:pos="800"/>
      </w:tabs>
      <w:snapToGrid w:val="0"/>
      <w:spacing w:beforeLines="0" w:line="276" w:lineRule="auto"/>
      <w:ind w:left="800" w:hanging="400"/>
    </w:pPr>
  </w:style>
  <w:style w:type="paragraph" w:customStyle="1" w:styleId="322">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qFormat/>
    <w:uiPriority w:val="0"/>
    <w:pPr>
      <w:spacing w:afterLines="10"/>
      <w:ind w:firstLine="200"/>
    </w:pPr>
    <w:rPr>
      <w:b/>
    </w:rPr>
  </w:style>
  <w:style w:type="paragraph" w:customStyle="1" w:styleId="32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qFormat/>
    <w:uiPriority w:val="0"/>
  </w:style>
  <w:style w:type="paragraph" w:customStyle="1" w:styleId="328">
    <w:name w:val="样式 样式1 样式 编号 a + Times New Roman 段前: 0 行 行距: 多倍行距 1.15 字行 + 左侧....."/>
    <w:basedOn w:val="236"/>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qFormat/>
    <w:uiPriority w:val="0"/>
    <w:rPr>
      <w:rFonts w:ascii="宋体"/>
      <w:kern w:val="0"/>
      <w:sz w:val="24"/>
      <w:u w:color="000000"/>
    </w:rPr>
  </w:style>
  <w:style w:type="paragraph" w:customStyle="1" w:styleId="333">
    <w:name w:val="样式6"/>
    <w:basedOn w:val="1"/>
    <w:qFormat/>
    <w:uiPriority w:val="0"/>
    <w:pPr>
      <w:topLinePunct/>
      <w:spacing w:before="160" w:after="60"/>
      <w:jc w:val="center"/>
    </w:pPr>
    <w:rPr>
      <w:rFonts w:eastAsia="黑体"/>
      <w:szCs w:val="21"/>
    </w:rPr>
  </w:style>
  <w:style w:type="paragraph" w:customStyle="1" w:styleId="334">
    <w:name w:val="正文_配电_小四"/>
    <w:basedOn w:val="1"/>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qFormat/>
    <w:uiPriority w:val="0"/>
    <w:pPr>
      <w:outlineLvl w:val="6"/>
    </w:pPr>
  </w:style>
  <w:style w:type="paragraph" w:customStyle="1" w:styleId="336">
    <w:name w:val="Style 三级条标题 + Before:  6 pt"/>
    <w:basedOn w:val="337"/>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qFormat/>
    <w:uiPriority w:val="0"/>
    <w:pPr>
      <w:spacing w:before="57"/>
    </w:pPr>
    <w:rPr>
      <w:rFonts w:ascii="宋体"/>
      <w:sz w:val="21"/>
    </w:rPr>
  </w:style>
  <w:style w:type="paragraph" w:customStyle="1" w:styleId="339">
    <w:name w:val="封面标准号2"/>
    <w:basedOn w:val="340"/>
    <w:qFormat/>
    <w:uiPriority w:val="0"/>
    <w:pPr>
      <w:spacing w:before="357" w:line="280" w:lineRule="exact"/>
    </w:pPr>
  </w:style>
  <w:style w:type="paragraph" w:customStyle="1" w:styleId="340">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qFormat/>
    <w:uiPriority w:val="0"/>
    <w:pPr>
      <w:tabs>
        <w:tab w:val="left" w:pos="1680"/>
      </w:tabs>
      <w:snapToGrid w:val="0"/>
      <w:spacing w:line="276" w:lineRule="auto"/>
      <w:ind w:left="1680" w:leftChars="600" w:hanging="420" w:hangingChars="800"/>
    </w:pPr>
  </w:style>
  <w:style w:type="paragraph" w:customStyle="1" w:styleId="34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qFormat/>
    <w:uiPriority w:val="0"/>
    <w:pPr>
      <w:numPr>
        <w:ilvl w:val="8"/>
        <w:numId w:val="3"/>
      </w:numPr>
      <w:outlineLvl w:val="3"/>
    </w:pPr>
  </w:style>
  <w:style w:type="paragraph" w:customStyle="1" w:styleId="345">
    <w:name w:val="样式 正文（首行缩进两字） Char + 黑色 首行缩进:  2 字符 段前: 0.1 行"/>
    <w:basedOn w:val="152"/>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47">
    <w:name w:val="条文说明"/>
    <w:basedOn w:val="348"/>
    <w:qFormat/>
    <w:uiPriority w:val="0"/>
  </w:style>
  <w:style w:type="paragraph" w:customStyle="1" w:styleId="348">
    <w:name w:val="名称"/>
    <w:basedOn w:val="220"/>
    <w:next w:val="202"/>
    <w:qFormat/>
    <w:uiPriority w:val="0"/>
    <w:pPr>
      <w:widowControl/>
      <w:adjustRightInd/>
      <w:spacing w:line="460" w:lineRule="exact"/>
      <w:textAlignment w:val="auto"/>
      <w:outlineLvl w:val="9"/>
    </w:pPr>
    <w:rPr>
      <w:b/>
    </w:rPr>
  </w:style>
  <w:style w:type="paragraph" w:customStyle="1" w:styleId="34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qFormat/>
    <w:uiPriority w:val="0"/>
    <w:pPr>
      <w:topLinePunct/>
      <w:adjustRightInd w:val="0"/>
    </w:pPr>
  </w:style>
  <w:style w:type="paragraph" w:customStyle="1" w:styleId="352">
    <w:name w:val="样式 正文（首行缩进两字） Char + 首行缩进:  2 字符"/>
    <w:basedOn w:val="152"/>
    <w:qFormat/>
    <w:uiPriority w:val="0"/>
    <w:pPr>
      <w:spacing w:afterLines="10"/>
      <w:ind w:firstLine="200"/>
      <w:jc w:val="center"/>
    </w:pPr>
    <w:rPr>
      <w:b/>
    </w:rPr>
  </w:style>
  <w:style w:type="paragraph" w:customStyle="1" w:styleId="353">
    <w:name w:val="样式1 标题 1 + 段前: 1 行 段后: 1 行"/>
    <w:basedOn w:val="271"/>
    <w:qFormat/>
    <w:uiPriority w:val="0"/>
    <w:pPr>
      <w:spacing w:beforeLines="100" w:afterLines="100"/>
    </w:pPr>
    <w:rPr>
      <w:rFonts w:eastAsia="黑体"/>
      <w:b w:val="0"/>
    </w:rPr>
  </w:style>
  <w:style w:type="paragraph" w:customStyle="1" w:styleId="354">
    <w:name w:val="_列表编号2"/>
    <w:basedOn w:val="20"/>
    <w:qFormat/>
    <w:uiPriority w:val="0"/>
    <w:pPr>
      <w:tabs>
        <w:tab w:val="left" w:pos="1200"/>
      </w:tabs>
      <w:snapToGrid w:val="0"/>
      <w:spacing w:beforeLines="0" w:line="276" w:lineRule="auto"/>
      <w:ind w:left="1200" w:hanging="400"/>
    </w:pPr>
  </w:style>
  <w:style w:type="paragraph" w:customStyle="1" w:styleId="355">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qFormat/>
    <w:uiPriority w:val="99"/>
    <w:pPr>
      <w:ind w:firstLine="420" w:firstLineChars="200"/>
    </w:pPr>
  </w:style>
  <w:style w:type="paragraph" w:customStyle="1" w:styleId="357">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qFormat/>
    <w:uiPriority w:val="0"/>
    <w:pPr>
      <w:spacing w:line="480" w:lineRule="exact"/>
      <w:ind w:firstLine="480" w:firstLineChars="200"/>
    </w:pPr>
    <w:rPr>
      <w:sz w:val="24"/>
    </w:rPr>
  </w:style>
  <w:style w:type="paragraph" w:customStyle="1" w:styleId="359">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361">
    <w:name w:val="公式"/>
    <w:basedOn w:val="41"/>
    <w:qFormat/>
    <w:uiPriority w:val="0"/>
    <w:pPr>
      <w:tabs>
        <w:tab w:val="center" w:pos="4706"/>
        <w:tab w:val="right" w:pos="9412"/>
      </w:tabs>
    </w:pPr>
    <w:rPr>
      <w:rFonts w:ascii="Times New Roman" w:hAnsi="宋体"/>
    </w:rPr>
  </w:style>
  <w:style w:type="paragraph" w:customStyle="1" w:styleId="362">
    <w:name w:val="样式 目录 1 + 首行缩进:  0.74 厘米"/>
    <w:basedOn w:val="51"/>
    <w:qFormat/>
    <w:uiPriority w:val="0"/>
    <w:pPr>
      <w:spacing w:beforeLines="10" w:line="312" w:lineRule="auto"/>
    </w:pPr>
    <w:rPr>
      <w:bCs w:val="0"/>
    </w:rPr>
  </w:style>
  <w:style w:type="paragraph" w:customStyle="1" w:styleId="363">
    <w:name w:val="样式1 标题 2 + 段前: 0.1 行 + 宋体"/>
    <w:basedOn w:val="1"/>
    <w:qFormat/>
    <w:uiPriority w:val="0"/>
    <w:pPr>
      <w:tabs>
        <w:tab w:val="left" w:pos="500"/>
      </w:tabs>
      <w:spacing w:beforeLines="10" w:line="312" w:lineRule="auto"/>
    </w:pPr>
  </w:style>
  <w:style w:type="paragraph" w:customStyle="1" w:styleId="364">
    <w:name w:val="图说"/>
    <w:basedOn w:val="1"/>
    <w:qFormat/>
    <w:uiPriority w:val="0"/>
    <w:pPr>
      <w:topLinePunct/>
      <w:spacing w:before="60" w:after="160"/>
      <w:jc w:val="center"/>
    </w:pPr>
    <w:rPr>
      <w:sz w:val="18"/>
    </w:rPr>
  </w:style>
  <w:style w:type="paragraph" w:customStyle="1" w:styleId="365">
    <w:name w:val="Char Char Char Char Char Char Char Char Char1 Char Char Char"/>
    <w:basedOn w:val="1"/>
    <w:qFormat/>
    <w:uiPriority w:val="0"/>
    <w:pPr>
      <w:spacing w:line="580" w:lineRule="exact"/>
      <w:ind w:firstLine="200" w:firstLineChars="200"/>
    </w:pPr>
  </w:style>
  <w:style w:type="paragraph" w:customStyle="1" w:styleId="366">
    <w:name w:val="样式 段前: 0.1 行2"/>
    <w:basedOn w:val="1"/>
    <w:qFormat/>
    <w:uiPriority w:val="0"/>
    <w:pPr>
      <w:spacing w:line="276" w:lineRule="auto"/>
    </w:pPr>
  </w:style>
  <w:style w:type="paragraph" w:customStyle="1" w:styleId="36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6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qFormat/>
    <w:uiPriority w:val="0"/>
    <w:pPr>
      <w:spacing w:line="240" w:lineRule="atLeast"/>
      <w:ind w:left="420" w:firstLine="420"/>
    </w:pPr>
    <w:rPr>
      <w:kern w:val="0"/>
    </w:rPr>
  </w:style>
  <w:style w:type="paragraph" w:customStyle="1" w:styleId="373">
    <w:name w:val="术语定义二级条标题"/>
    <w:basedOn w:val="267"/>
    <w:next w:val="202"/>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qFormat/>
    <w:uiPriority w:val="0"/>
    <w:pPr>
      <w:spacing w:beforeLines="0" w:afterLines="10" w:line="240" w:lineRule="auto"/>
      <w:ind w:left="2" w:leftChars="-11" w:hanging="13" w:hangingChars="13"/>
    </w:pPr>
  </w:style>
  <w:style w:type="paragraph" w:customStyle="1" w:styleId="380">
    <w:name w:val="五级无标题条"/>
    <w:basedOn w:val="1"/>
    <w:qFormat/>
    <w:uiPriority w:val="0"/>
    <w:pPr>
      <w:numPr>
        <w:ilvl w:val="6"/>
        <w:numId w:val="1"/>
      </w:numPr>
    </w:pPr>
    <w:rPr>
      <w:rFonts w:ascii="黑体" w:eastAsia="黑体"/>
      <w:b/>
    </w:rPr>
  </w:style>
  <w:style w:type="paragraph" w:customStyle="1" w:styleId="381">
    <w:name w:val="序号"/>
    <w:basedOn w:val="1"/>
    <w:qFormat/>
    <w:uiPriority w:val="0"/>
    <w:pPr>
      <w:spacing w:line="300" w:lineRule="auto"/>
    </w:pPr>
    <w:rPr>
      <w:rFonts w:ascii="宋体" w:hAnsi="宋体"/>
      <w:sz w:val="24"/>
    </w:rPr>
  </w:style>
  <w:style w:type="paragraph" w:customStyle="1" w:styleId="38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qFormat/>
    <w:uiPriority w:val="0"/>
    <w:pPr>
      <w:topLinePunct/>
      <w:adjustRightInd w:val="0"/>
      <w:ind w:left="840" w:hanging="420"/>
    </w:pPr>
    <w:rPr>
      <w:kern w:val="21"/>
      <w:szCs w:val="21"/>
    </w:rPr>
  </w:style>
  <w:style w:type="paragraph" w:customStyle="1" w:styleId="384">
    <w:name w:val="朱公式"/>
    <w:basedOn w:val="152"/>
    <w:qFormat/>
    <w:uiPriority w:val="0"/>
    <w:pPr>
      <w:tabs>
        <w:tab w:val="center" w:pos="4763"/>
        <w:tab w:val="right" w:pos="9412"/>
      </w:tabs>
    </w:pPr>
    <w:rPr>
      <w:kern w:val="21"/>
    </w:rPr>
  </w:style>
  <w:style w:type="paragraph" w:customStyle="1" w:styleId="385">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qFormat/>
    <w:uiPriority w:val="0"/>
    <w:pPr>
      <w:numPr>
        <w:ilvl w:val="7"/>
      </w:numPr>
      <w:outlineLvl w:val="9"/>
    </w:pPr>
  </w:style>
  <w:style w:type="paragraph" w:customStyle="1" w:styleId="392">
    <w:name w:val="样式 样式2 + 右侧:  1 字符"/>
    <w:basedOn w:val="143"/>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qFormat/>
    <w:uiPriority w:val="0"/>
    <w:pPr>
      <w:spacing w:beforeLines="0" w:line="276" w:lineRule="auto"/>
      <w:ind w:firstLine="420"/>
    </w:pPr>
  </w:style>
  <w:style w:type="paragraph" w:customStyle="1" w:styleId="394">
    <w:name w:val="样式 段前: 0.1 行 首行缩进:  2 字符"/>
    <w:basedOn w:val="1"/>
    <w:qFormat/>
    <w:uiPriority w:val="0"/>
    <w:pPr>
      <w:spacing w:beforeLines="10" w:line="300" w:lineRule="auto"/>
      <w:ind w:firstLine="200" w:firstLineChars="200"/>
    </w:pPr>
  </w:style>
  <w:style w:type="paragraph" w:customStyle="1" w:styleId="395">
    <w:name w:val="样式1 标题 5 + 段前: 0.1 行 + 段前: 0.1 行"/>
    <w:basedOn w:val="1"/>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qFormat/>
    <w:uiPriority w:val="0"/>
    <w:pPr>
      <w:tabs>
        <w:tab w:val="left" w:pos="1021"/>
        <w:tab w:val="clear" w:pos="360"/>
      </w:tabs>
      <w:spacing w:beforeLines="100" w:afterLines="100"/>
    </w:pPr>
  </w:style>
  <w:style w:type="paragraph" w:customStyle="1" w:styleId="397">
    <w:name w:val="样式7"/>
    <w:basedOn w:val="3"/>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00">
    <w:name w:val="引言二级条标题"/>
    <w:basedOn w:val="401"/>
    <w:next w:val="202"/>
    <w:qFormat/>
    <w:uiPriority w:val="0"/>
    <w:pPr>
      <w:numPr>
        <w:ilvl w:val="1"/>
        <w:numId w:val="11"/>
      </w:numPr>
      <w:tabs>
        <w:tab w:val="left" w:pos="1260"/>
      </w:tabs>
      <w:ind w:left="0" w:firstLine="0"/>
    </w:pPr>
  </w:style>
  <w:style w:type="paragraph" w:customStyle="1" w:styleId="401">
    <w:name w:val="引言一级条标题"/>
    <w:basedOn w:val="1"/>
    <w:next w:val="202"/>
    <w:qFormat/>
    <w:uiPriority w:val="0"/>
    <w:pPr>
      <w:widowControl/>
      <w:numPr>
        <w:ilvl w:val="0"/>
        <w:numId w:val="12"/>
      </w:numPr>
    </w:pPr>
    <w:rPr>
      <w:rFonts w:eastAsia="黑体"/>
      <w:b/>
    </w:rPr>
  </w:style>
  <w:style w:type="paragraph" w:customStyle="1" w:styleId="402">
    <w:name w:val="CM54"/>
    <w:basedOn w:val="254"/>
    <w:next w:val="254"/>
    <w:qFormat/>
    <w:uiPriority w:val="0"/>
    <w:rPr>
      <w:rFonts w:ascii="Times New Roman"/>
      <w:color w:val="auto"/>
    </w:rPr>
  </w:style>
  <w:style w:type="paragraph" w:customStyle="1" w:styleId="40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qFormat/>
    <w:uiPriority w:val="0"/>
  </w:style>
  <w:style w:type="paragraph" w:customStyle="1" w:styleId="405">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qFormat/>
    <w:uiPriority w:val="0"/>
    <w:pPr>
      <w:tabs>
        <w:tab w:val="center" w:pos="4154"/>
        <w:tab w:val="right" w:pos="8306"/>
      </w:tabs>
      <w:jc w:val="left"/>
    </w:pPr>
  </w:style>
  <w:style w:type="paragraph" w:customStyle="1" w:styleId="407">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qFormat/>
    <w:uiPriority w:val="0"/>
    <w:pPr>
      <w:tabs>
        <w:tab w:val="left" w:pos="820"/>
      </w:tabs>
      <w:snapToGrid w:val="0"/>
      <w:spacing w:line="276" w:lineRule="auto"/>
      <w:ind w:left="820" w:hanging="420"/>
    </w:pPr>
  </w:style>
  <w:style w:type="paragraph" w:customStyle="1" w:styleId="41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qFormat/>
    <w:uiPriority w:val="0"/>
    <w:pPr>
      <w:tabs>
        <w:tab w:val="left" w:pos="357"/>
        <w:tab w:val="left" w:pos="900"/>
      </w:tabs>
      <w:spacing w:beforeLines="10" w:line="312" w:lineRule="auto"/>
    </w:pPr>
  </w:style>
  <w:style w:type="paragraph" w:customStyle="1" w:styleId="412">
    <w:name w:val="副标题2"/>
    <w:basedOn w:val="1"/>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qFormat/>
    <w:uiPriority w:val="0"/>
    <w:pPr>
      <w:numPr>
        <w:ilvl w:val="5"/>
      </w:numPr>
      <w:ind w:left="0" w:firstLine="0"/>
      <w:jc w:val="center"/>
      <w:outlineLvl w:val="5"/>
    </w:pPr>
  </w:style>
  <w:style w:type="paragraph" w:customStyle="1" w:styleId="41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16">
    <w:name w:val="表文"/>
    <w:basedOn w:val="1"/>
    <w:qFormat/>
    <w:uiPriority w:val="0"/>
    <w:pPr>
      <w:topLinePunct/>
      <w:spacing w:before="40" w:after="40"/>
    </w:pPr>
    <w:rPr>
      <w:sz w:val="18"/>
      <w:szCs w:val="18"/>
    </w:rPr>
  </w:style>
  <w:style w:type="paragraph" w:customStyle="1" w:styleId="417">
    <w:name w:val="回信地址"/>
    <w:basedOn w:val="1"/>
    <w:qFormat/>
    <w:uiPriority w:val="0"/>
    <w:pPr>
      <w:keepLines/>
      <w:widowControl/>
      <w:spacing w:line="220" w:lineRule="atLeast"/>
      <w:jc w:val="left"/>
    </w:pPr>
    <w:rPr>
      <w:rFonts w:ascii="Arial" w:hAnsi="Arial"/>
      <w:kern w:val="0"/>
      <w:sz w:val="15"/>
    </w:rPr>
  </w:style>
  <w:style w:type="paragraph" w:customStyle="1" w:styleId="418">
    <w:name w:val="样式3"/>
    <w:basedOn w:val="144"/>
    <w:qFormat/>
    <w:uiPriority w:val="0"/>
  </w:style>
  <w:style w:type="paragraph" w:customStyle="1" w:styleId="419">
    <w:name w:val="工程建设公式标题"/>
    <w:basedOn w:val="233"/>
    <w:qFormat/>
    <w:uiPriority w:val="0"/>
    <w:pPr>
      <w:numPr>
        <w:ilvl w:val="6"/>
      </w:numPr>
      <w:jc w:val="center"/>
      <w:outlineLvl w:val="6"/>
    </w:pPr>
  </w:style>
  <w:style w:type="paragraph" w:customStyle="1" w:styleId="42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qFormat/>
    <w:uiPriority w:val="0"/>
    <w:pPr>
      <w:spacing w:line="276" w:lineRule="auto"/>
    </w:pPr>
  </w:style>
  <w:style w:type="paragraph" w:customStyle="1" w:styleId="424">
    <w:name w:val="样式 样式 段前: 0.1 行 首行缩进:  2 字符 + 首行缩进:  2 字符 段前: 0.1 行"/>
    <w:basedOn w:val="394"/>
    <w:qFormat/>
    <w:uiPriority w:val="0"/>
    <w:pPr>
      <w:spacing w:line="276" w:lineRule="auto"/>
      <w:ind w:firstLine="420"/>
    </w:pPr>
  </w:style>
  <w:style w:type="paragraph" w:customStyle="1" w:styleId="425">
    <w:name w:val="样式 段前: 0.1 行 左  4 字符"/>
    <w:basedOn w:val="1"/>
    <w:qFormat/>
    <w:uiPriority w:val="0"/>
    <w:pPr>
      <w:spacing w:beforeLines="10" w:line="300" w:lineRule="auto"/>
      <w:ind w:left="400" w:leftChars="400"/>
    </w:pPr>
  </w:style>
  <w:style w:type="paragraph" w:customStyle="1" w:styleId="426">
    <w:name w:val="表格形式"/>
    <w:basedOn w:val="1"/>
    <w:qFormat/>
    <w:uiPriority w:val="0"/>
    <w:pPr>
      <w:widowControl/>
      <w:spacing w:before="120" w:line="360" w:lineRule="auto"/>
      <w:ind w:firstLine="425"/>
      <w:jc w:val="center"/>
    </w:pPr>
    <w:rPr>
      <w:kern w:val="0"/>
      <w:sz w:val="24"/>
    </w:rPr>
  </w:style>
  <w:style w:type="paragraph" w:customStyle="1" w:styleId="427">
    <w:name w:val="样式标题 3 + Arial 段前: 0.1 行"/>
    <w:basedOn w:val="1"/>
    <w:qFormat/>
    <w:uiPriority w:val="0"/>
    <w:pPr>
      <w:tabs>
        <w:tab w:val="left" w:pos="357"/>
      </w:tabs>
      <w:spacing w:beforeLines="10" w:line="312" w:lineRule="auto"/>
    </w:pPr>
  </w:style>
  <w:style w:type="paragraph" w:customStyle="1" w:styleId="428">
    <w:name w:val="默认段落字体 Para Char Char Char Char"/>
    <w:basedOn w:val="1"/>
    <w:qFormat/>
    <w:uiPriority w:val="0"/>
  </w:style>
  <w:style w:type="paragraph" w:customStyle="1" w:styleId="429">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qFormat/>
    <w:uiPriority w:val="0"/>
  </w:style>
  <w:style w:type="paragraph" w:customStyle="1" w:styleId="431">
    <w:name w:val="样式 标题 3 + 黑色 段前: 0.1 行"/>
    <w:basedOn w:val="292"/>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qFormat/>
    <w:uiPriority w:val="0"/>
  </w:style>
  <w:style w:type="paragraph" w:customStyle="1" w:styleId="43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qFormat/>
    <w:uiPriority w:val="0"/>
    <w:pPr>
      <w:ind w:firstLine="420"/>
    </w:pPr>
  </w:style>
  <w:style w:type="paragraph" w:customStyle="1" w:styleId="43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qFormat/>
    <w:uiPriority w:val="0"/>
  </w:style>
  <w:style w:type="paragraph" w:customStyle="1" w:styleId="44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43">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qFormat/>
    <w:uiPriority w:val="0"/>
    <w:pPr>
      <w:tabs>
        <w:tab w:val="left" w:pos="0"/>
      </w:tabs>
      <w:spacing w:line="360" w:lineRule="auto"/>
    </w:pPr>
    <w:rPr>
      <w:rFonts w:ascii="宋体" w:hAnsi="宋体"/>
      <w:kern w:val="0"/>
      <w:sz w:val="24"/>
    </w:rPr>
  </w:style>
  <w:style w:type="paragraph" w:customStyle="1" w:styleId="445">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qFormat/>
    <w:uiPriority w:val="0"/>
    <w:pPr>
      <w:spacing w:line="276" w:lineRule="auto"/>
    </w:pPr>
    <w:rPr>
      <w:rFonts w:ascii="Arial" w:hAnsi="Arial"/>
      <w:color w:val="000000"/>
      <w:sz w:val="18"/>
    </w:rPr>
  </w:style>
  <w:style w:type="paragraph" w:customStyle="1" w:styleId="447">
    <w:name w:val="默认段落字体 Para Char Char Char Char Char"/>
    <w:basedOn w:val="1"/>
    <w:qFormat/>
    <w:uiPriority w:val="0"/>
    <w:rPr>
      <w:rFonts w:ascii="宋体" w:hAnsi="宋体"/>
      <w:b/>
      <w:color w:val="000000"/>
      <w:sz w:val="24"/>
      <w:szCs w:val="24"/>
    </w:rPr>
  </w:style>
  <w:style w:type="paragraph" w:customStyle="1" w:styleId="4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qFormat/>
    <w:uiPriority w:val="0"/>
    <w:pPr>
      <w:numPr>
        <w:ilvl w:val="2"/>
        <w:numId w:val="1"/>
      </w:numPr>
      <w:tabs>
        <w:tab w:val="left" w:pos="420"/>
      </w:tabs>
    </w:pPr>
    <w:rPr>
      <w:b/>
    </w:rPr>
  </w:style>
  <w:style w:type="paragraph" w:customStyle="1" w:styleId="450">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qFormat/>
    <w:uiPriority w:val="0"/>
    <w:pPr>
      <w:spacing w:line="276" w:lineRule="auto"/>
      <w:ind w:left="420"/>
    </w:pPr>
    <w:rPr>
      <w:rFonts w:ascii="宋体"/>
    </w:rPr>
  </w:style>
  <w:style w:type="paragraph" w:customStyle="1" w:styleId="455">
    <w:name w:val="插图名称"/>
    <w:basedOn w:val="1"/>
    <w:next w:val="1"/>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57">
    <w:name w:val="正文表标题续表"/>
    <w:basedOn w:val="458"/>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qFormat/>
    <w:uiPriority w:val="0"/>
    <w:pPr>
      <w:spacing w:line="0" w:lineRule="atLeast"/>
    </w:pPr>
    <w:rPr>
      <w:rFonts w:ascii="黑体" w:eastAsia="黑体"/>
      <w:b w:val="0"/>
    </w:rPr>
  </w:style>
  <w:style w:type="paragraph" w:customStyle="1" w:styleId="460">
    <w:name w:val="a"/>
    <w:basedOn w:val="350"/>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3">
    <w:name w:val="目次"/>
    <w:basedOn w:val="1"/>
    <w:qFormat/>
    <w:uiPriority w:val="0"/>
    <w:pPr>
      <w:spacing w:line="1200" w:lineRule="auto"/>
      <w:jc w:val="center"/>
    </w:pPr>
    <w:rPr>
      <w:rFonts w:eastAsia="黑体"/>
      <w:kern w:val="21"/>
      <w:sz w:val="32"/>
      <w:szCs w:val="32"/>
    </w:rPr>
  </w:style>
  <w:style w:type="paragraph" w:customStyle="1" w:styleId="464">
    <w:name w:val="_术语条目"/>
    <w:basedOn w:val="305"/>
    <w:next w:val="465"/>
    <w:qFormat/>
    <w:uiPriority w:val="0"/>
    <w:pPr>
      <w:spacing w:beforeLines="0" w:line="276" w:lineRule="auto"/>
      <w:jc w:val="left"/>
    </w:pPr>
    <w:rPr>
      <w:rFonts w:eastAsia="黑体"/>
      <w:color w:val="000000"/>
    </w:rPr>
  </w:style>
  <w:style w:type="paragraph" w:customStyle="1" w:styleId="465">
    <w:name w:val="_术语说明"/>
    <w:basedOn w:val="305"/>
    <w:qFormat/>
    <w:uiPriority w:val="0"/>
    <w:pPr>
      <w:spacing w:beforeLines="0" w:line="276" w:lineRule="auto"/>
    </w:pPr>
    <w:rPr>
      <w:color w:val="000000"/>
    </w:rPr>
  </w:style>
  <w:style w:type="paragraph" w:customStyle="1" w:styleId="466">
    <w:name w:val="样式 Times New Roman 段前: 0.1 行 行距: 多倍行距 1.25 字行"/>
    <w:basedOn w:val="1"/>
    <w:qFormat/>
    <w:uiPriority w:val="0"/>
    <w:pPr>
      <w:spacing w:line="276" w:lineRule="auto"/>
    </w:pPr>
    <w:rPr>
      <w:rFonts w:hAnsi="宋体"/>
    </w:rPr>
  </w:style>
  <w:style w:type="paragraph" w:customStyle="1" w:styleId="467">
    <w:name w:val="四级条标题"/>
    <w:basedOn w:val="337"/>
    <w:next w:val="202"/>
    <w:qFormat/>
    <w:uiPriority w:val="0"/>
    <w:pPr>
      <w:outlineLvl w:val="5"/>
    </w:pPr>
  </w:style>
  <w:style w:type="paragraph" w:customStyle="1" w:styleId="46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qFormat/>
    <w:uiPriority w:val="0"/>
    <w:pPr>
      <w:spacing w:beforeLines="0" w:afterLines="0"/>
    </w:pPr>
  </w:style>
  <w:style w:type="paragraph" w:customStyle="1" w:styleId="472">
    <w:name w:val="节标签"/>
    <w:basedOn w:val="276"/>
    <w:next w:val="30"/>
    <w:qFormat/>
    <w:uiPriority w:val="0"/>
    <w:pPr>
      <w:spacing w:before="400" w:after="440"/>
    </w:pPr>
    <w:rPr>
      <w:rFonts w:ascii="Times New Roman" w:hAnsi="Times New Roman"/>
      <w:spacing w:val="-30"/>
      <w:sz w:val="60"/>
    </w:rPr>
  </w:style>
  <w:style w:type="paragraph" w:customStyle="1" w:styleId="473">
    <w:name w:val="批注框文本 Char Char"/>
    <w:basedOn w:val="1"/>
    <w:qFormat/>
    <w:uiPriority w:val="0"/>
    <w:rPr>
      <w:sz w:val="18"/>
      <w:szCs w:val="18"/>
    </w:rPr>
  </w:style>
  <w:style w:type="paragraph" w:customStyle="1" w:styleId="474">
    <w:name w:val="朱1"/>
    <w:basedOn w:val="144"/>
    <w:qFormat/>
    <w:uiPriority w:val="0"/>
  </w:style>
  <w:style w:type="paragraph" w:customStyle="1" w:styleId="475">
    <w:name w:val="_列项符号1"/>
    <w:basedOn w:val="24"/>
    <w:qFormat/>
    <w:uiPriority w:val="0"/>
    <w:pPr>
      <w:snapToGrid w:val="0"/>
      <w:spacing w:line="276" w:lineRule="auto"/>
      <w:ind w:left="400" w:leftChars="200" w:hanging="200" w:hangingChars="200"/>
    </w:pPr>
    <w:rPr>
      <w:color w:val="000000"/>
    </w:rPr>
  </w:style>
  <w:style w:type="paragraph" w:customStyle="1" w:styleId="47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qFormat/>
    <w:uiPriority w:val="0"/>
    <w:pPr>
      <w:spacing w:beforeLines="50" w:afterLines="50" w:line="330" w:lineRule="exact"/>
      <w:jc w:val="left"/>
    </w:pPr>
    <w:rPr>
      <w:b/>
      <w:sz w:val="21"/>
    </w:rPr>
  </w:style>
  <w:style w:type="paragraph" w:customStyle="1" w:styleId="479">
    <w:name w:val="样式4"/>
    <w:basedOn w:val="418"/>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1">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qFormat/>
    <w:uiPriority w:val="0"/>
    <w:rPr>
      <w:b/>
      <w:bCs/>
    </w:rPr>
  </w:style>
  <w:style w:type="paragraph" w:customStyle="1" w:styleId="483">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qFormat/>
    <w:uiPriority w:val="0"/>
    <w:pPr>
      <w:spacing w:line="312" w:lineRule="exact"/>
    </w:pPr>
    <w:rPr>
      <w:rFonts w:ascii="EU-F1"/>
      <w:snapToGrid w:val="0"/>
      <w:szCs w:val="20"/>
    </w:rPr>
  </w:style>
  <w:style w:type="paragraph" w:customStyle="1" w:styleId="486">
    <w:name w:val="CM64"/>
    <w:basedOn w:val="254"/>
    <w:next w:val="254"/>
    <w:qFormat/>
    <w:uiPriority w:val="0"/>
    <w:rPr>
      <w:rFonts w:ascii="Times New Roman"/>
      <w:color w:val="auto"/>
    </w:rPr>
  </w:style>
  <w:style w:type="paragraph" w:customStyle="1" w:styleId="487">
    <w:name w:val="样式 章标题 + 小四 段前: 0.5 行 段后: 0.5 行"/>
    <w:basedOn w:val="268"/>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qFormat/>
    <w:uiPriority w:val="0"/>
    <w:pPr>
      <w:ind w:left="780" w:leftChars="200" w:hanging="360" w:hangingChars="200"/>
      <w:jc w:val="both"/>
    </w:pPr>
    <w:rPr>
      <w:rFonts w:ascii="宋体"/>
    </w:rPr>
  </w:style>
  <w:style w:type="paragraph" w:customStyle="1" w:styleId="491">
    <w:name w:val="_附录编号标题"/>
    <w:basedOn w:val="1"/>
    <w:next w:val="227"/>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qFormat/>
    <w:uiPriority w:val="0"/>
    <w:rPr>
      <w:szCs w:val="24"/>
    </w:rPr>
  </w:style>
  <w:style w:type="paragraph" w:customStyle="1" w:styleId="496">
    <w:name w:val="CM56"/>
    <w:basedOn w:val="254"/>
    <w:next w:val="254"/>
    <w:qFormat/>
    <w:uiPriority w:val="0"/>
    <w:rPr>
      <w:rFonts w:ascii="Times New Roman"/>
      <w:color w:val="auto"/>
    </w:rPr>
  </w:style>
  <w:style w:type="paragraph" w:customStyle="1" w:styleId="497">
    <w:name w:val="Char"/>
    <w:basedOn w:val="1"/>
    <w:qFormat/>
    <w:uiPriority w:val="0"/>
    <w:rPr>
      <w:szCs w:val="24"/>
    </w:rPr>
  </w:style>
  <w:style w:type="paragraph" w:customStyle="1" w:styleId="498">
    <w:name w:val="术语定义四级条标题"/>
    <w:basedOn w:val="267"/>
    <w:next w:val="202"/>
    <w:qFormat/>
    <w:uiPriority w:val="0"/>
    <w:pPr>
      <w:tabs>
        <w:tab w:val="left" w:pos="1995"/>
        <w:tab w:val="clear" w:pos="735"/>
      </w:tabs>
      <w:ind w:left="1995"/>
    </w:pPr>
  </w:style>
  <w:style w:type="paragraph" w:customStyle="1" w:styleId="49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qFormat/>
    <w:uiPriority w:val="0"/>
    <w:pPr>
      <w:spacing w:beforeLines="50"/>
    </w:pPr>
  </w:style>
  <w:style w:type="paragraph" w:customStyle="1" w:styleId="506">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qFormat/>
    <w:uiPriority w:val="0"/>
    <w:rPr>
      <w:szCs w:val="21"/>
    </w:rPr>
  </w:style>
  <w:style w:type="paragraph" w:customStyle="1" w:styleId="508">
    <w:name w:val="Char1"/>
    <w:basedOn w:val="1"/>
    <w:qFormat/>
    <w:uiPriority w:val="0"/>
    <w:rPr>
      <w:rFonts w:ascii="Tahoma" w:hAnsi="Tahoma"/>
      <w:sz w:val="24"/>
    </w:rPr>
  </w:style>
  <w:style w:type="paragraph" w:customStyle="1" w:styleId="509">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qFormat/>
    <w:uiPriority w:val="0"/>
    <w:pPr>
      <w:spacing w:beforeLines="0" w:line="276" w:lineRule="auto"/>
      <w:ind w:firstLine="420"/>
    </w:pPr>
  </w:style>
  <w:style w:type="paragraph" w:customStyle="1" w:styleId="512">
    <w:name w:val="样式2 样式 a) + 段前: 0行"/>
    <w:basedOn w:val="170"/>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qFormat/>
    <w:uiPriority w:val="0"/>
    <w:pPr>
      <w:outlineLvl w:val="6"/>
    </w:pPr>
  </w:style>
  <w:style w:type="paragraph" w:customStyle="1" w:styleId="51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qFormat/>
    <w:uiPriority w:val="0"/>
    <w:pPr>
      <w:widowControl/>
      <w:spacing w:after="120"/>
      <w:ind w:left="420" w:leftChars="200"/>
      <w:jc w:val="left"/>
    </w:pPr>
    <w:rPr>
      <w:rFonts w:ascii="Calibri" w:hAnsi="Calibri"/>
      <w:sz w:val="16"/>
      <w:szCs w:val="16"/>
    </w:rPr>
  </w:style>
  <w:style w:type="character" w:customStyle="1" w:styleId="518">
    <w:name w:val="displayarti"/>
    <w:qFormat/>
    <w:uiPriority w:val="0"/>
    <w:rPr>
      <w:color w:val="FFFFFF"/>
      <w:shd w:val="clear" w:color="auto" w:fill="A00000"/>
    </w:rPr>
  </w:style>
  <w:style w:type="character" w:customStyle="1" w:styleId="519">
    <w:name w:val="gpa"/>
    <w:qFormat/>
    <w:uiPriority w:val="0"/>
    <w:rPr>
      <w:rFonts w:ascii="Arial" w:hAnsi="Arial" w:cs="Arial"/>
      <w:sz w:val="15"/>
      <w:szCs w:val="15"/>
    </w:rPr>
  </w:style>
  <w:style w:type="character" w:customStyle="1" w:styleId="520">
    <w:name w:val="selected"/>
    <w:qFormat/>
    <w:uiPriority w:val="0"/>
    <w:rPr>
      <w:shd w:val="clear" w:color="auto" w:fill="B00006"/>
    </w:rPr>
  </w:style>
  <w:style w:type="paragraph" w:customStyle="1" w:styleId="521">
    <w:name w:val="Default Paragraph Font Para Char"/>
    <w:basedOn w:val="1"/>
    <w:qFormat/>
    <w:uiPriority w:val="0"/>
    <w:pPr>
      <w:widowControl/>
      <w:spacing w:after="160" w:line="240" w:lineRule="exact"/>
      <w:jc w:val="left"/>
    </w:pPr>
  </w:style>
  <w:style w:type="paragraph" w:customStyle="1" w:styleId="522">
    <w:name w:val="Normal_1"/>
    <w:qFormat/>
    <w:uiPriority w:val="0"/>
    <w:pPr>
      <w:widowControl w:val="0"/>
      <w:jc w:val="both"/>
    </w:pPr>
    <w:rPr>
      <w:rFonts w:ascii="Calibri" w:hAnsi="Calibri" w:eastAsia="宋体" w:cs="Times New Roman"/>
      <w:szCs w:val="24"/>
      <w:lang w:val="en-US" w:eastAsia="zh-CN" w:bidi="ar-SA"/>
    </w:rPr>
  </w:style>
  <w:style w:type="paragraph" w:customStyle="1" w:styleId="5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qFormat/>
    <w:uiPriority w:val="0"/>
    <w:rPr>
      <w:kern w:val="0"/>
      <w:sz w:val="20"/>
    </w:rPr>
  </w:style>
  <w:style w:type="paragraph" w:customStyle="1" w:styleId="52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28">
    <w:name w:val="标准"/>
    <w:basedOn w:val="1"/>
    <w:qFormat/>
    <w:uiPriority w:val="0"/>
    <w:pPr>
      <w:adjustRightInd w:val="0"/>
      <w:spacing w:line="312" w:lineRule="atLeast"/>
      <w:textAlignment w:val="baseline"/>
    </w:pPr>
    <w:rPr>
      <w:kern w:val="0"/>
      <w:sz w:val="24"/>
    </w:rPr>
  </w:style>
  <w:style w:type="character" w:customStyle="1" w:styleId="529">
    <w:name w:val="font11"/>
    <w:basedOn w:val="77"/>
    <w:qFormat/>
    <w:uiPriority w:val="0"/>
    <w:rPr>
      <w:rFonts w:hint="eastAsia" w:ascii="宋体" w:hAnsi="宋体" w:eastAsia="宋体" w:cs="宋体"/>
      <w:color w:val="000000"/>
      <w:sz w:val="22"/>
      <w:szCs w:val="22"/>
      <w:u w:val="none"/>
    </w:rPr>
  </w:style>
  <w:style w:type="paragraph" w:customStyle="1" w:styleId="530">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1">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Normal_1_0_0"/>
    <w:basedOn w:val="522"/>
    <w:qFormat/>
    <w:uiPriority w:val="0"/>
    <w:rPr>
      <w:kern w:val="0"/>
      <w:sz w:val="20"/>
    </w:rPr>
  </w:style>
  <w:style w:type="character" w:customStyle="1" w:styleId="535">
    <w:name w:val="font21"/>
    <w:basedOn w:val="77"/>
    <w:qFormat/>
    <w:uiPriority w:val="0"/>
    <w:rPr>
      <w:rFonts w:hint="default" w:ascii="Times New Roman" w:hAnsi="Times New Roman" w:cs="Times New Roman"/>
      <w:color w:val="000000"/>
      <w:sz w:val="22"/>
      <w:szCs w:val="22"/>
      <w:u w:val="none"/>
    </w:rPr>
  </w:style>
  <w:style w:type="character" w:customStyle="1" w:styleId="536">
    <w:name w:val="font01"/>
    <w:basedOn w:val="77"/>
    <w:qFormat/>
    <w:uiPriority w:val="0"/>
    <w:rPr>
      <w:rFonts w:hint="eastAsia" w:ascii="宋体" w:hAnsi="宋体" w:eastAsia="宋体" w:cs="宋体"/>
      <w:color w:val="000000"/>
      <w:sz w:val="22"/>
      <w:szCs w:val="22"/>
      <w:u w:val="none"/>
    </w:rPr>
  </w:style>
  <w:style w:type="character" w:customStyle="1" w:styleId="537">
    <w:name w:val="正文文本_"/>
    <w:qFormat/>
    <w:uiPriority w:val="0"/>
    <w:rPr>
      <w:rFonts w:ascii="宋体" w:eastAsia="宋体" w:cs="宋体"/>
      <w:sz w:val="22"/>
      <w:szCs w:val="22"/>
      <w:u w:val="none"/>
    </w:rPr>
  </w:style>
  <w:style w:type="paragraph" w:customStyle="1" w:styleId="538">
    <w:name w:val="List Paragraph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11522</Words>
  <Characters>12231</Characters>
  <Lines>142</Lines>
  <Paragraphs>40</Paragraphs>
  <TotalTime>22</TotalTime>
  <ScaleCrop>false</ScaleCrop>
  <LinksUpToDate>false</LinksUpToDate>
  <CharactersWithSpaces>12339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黄蓉</cp:lastModifiedBy>
  <cp:lastPrinted>2023-04-28T08:40:00Z</cp:lastPrinted>
  <dcterms:modified xsi:type="dcterms:W3CDTF">2026-02-09T08:53:10Z</dcterms:modified>
  <dc:title>宜兴水务集团有限公司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A7A6251878274C869535E6BA94B8B33D_13</vt:lpwstr>
  </property>
  <property fmtid="{D5CDD505-2E9C-101B-9397-08002B2CF9AE}" pid="4" name="KSOTemplateDocerSaveRecord">
    <vt:lpwstr>eyJoZGlkIjoiN2RlZDFmMDhmMTdlZjA3MTMxZjUwOWU4Y2ZkMjE5NzkiLCJ1c2VySWQiOiIyMzQ4ODI3MjIifQ==</vt:lpwstr>
  </property>
</Properties>
</file>