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江苏宜公投蓝藻资源开发有限公司太湖内源污染治理（太湖西岸宜兴近岸区域）2025-2026年度工程固化土及余水第三方检测服务招标公告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val="en-US" w:eastAsia="zh-CN"/>
        </w:rPr>
        <w:t>第三次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）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因工作需要，现组织江苏宜公投蓝藻资源开发有限公司太湖内源污染治理（太湖西岸宜兴近岸区域）2025-2026年度工程固化土及余水第三方检测服务进行招标。现欢迎符合相关条件的供应商参加投标。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28359079"/>
      <w:bookmarkStart w:id="2" w:name="_Toc35393621"/>
      <w:bookmarkStart w:id="3" w:name="_Toc35393790"/>
      <w:bookmarkStart w:id="4" w:name="_Toc28359002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1、项目编号：YXGYJT202601012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2、项目名称：太湖内源污染治理（太湖西岸宜兴近岸区域）2025-2026年度工程固化土及余水第三方检测服务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23.00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1DCE6FA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7、具有有效期内的CMA资质认证证书；</w:t>
      </w:r>
    </w:p>
    <w:p w14:paraId="29079F6B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8、具备本项目检测所有因子的检测能力，以承诺书为准。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：2026年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时00分</w:t>
      </w:r>
      <w:bookmarkStart w:id="5" w:name="_GoBack"/>
      <w:bookmarkEnd w:id="5"/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联系人：梁先生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联系电话：0510-80718723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7DDB3F8B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C6331FE"/>
    <w:rsid w:val="22A849C8"/>
    <w:rsid w:val="232F3DC1"/>
    <w:rsid w:val="288D58C2"/>
    <w:rsid w:val="2C7F577D"/>
    <w:rsid w:val="2CA03CB9"/>
    <w:rsid w:val="2EB22147"/>
    <w:rsid w:val="2EBF658E"/>
    <w:rsid w:val="31024A33"/>
    <w:rsid w:val="3215474B"/>
    <w:rsid w:val="331738A7"/>
    <w:rsid w:val="34F30A97"/>
    <w:rsid w:val="352D1052"/>
    <w:rsid w:val="37922808"/>
    <w:rsid w:val="3AD273C0"/>
    <w:rsid w:val="3D0228C6"/>
    <w:rsid w:val="3DF918E3"/>
    <w:rsid w:val="41094732"/>
    <w:rsid w:val="51AA02F7"/>
    <w:rsid w:val="53B25DD1"/>
    <w:rsid w:val="58A96AA9"/>
    <w:rsid w:val="59FF7EB4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88508E4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934</Characters>
  <Lines>1</Lines>
  <Paragraphs>1</Paragraphs>
  <TotalTime>0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2026-02-06T06:57:09Z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