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29869">
      <w:pPr>
        <w:pStyle w:val="14"/>
        <w:spacing w:line="360" w:lineRule="auto"/>
        <w:jc w:val="center"/>
        <w:rPr>
          <w:rFonts w:hint="default" w:ascii="宋体" w:hAnsi="宋体"/>
          <w:b/>
          <w:bCs/>
          <w:sz w:val="44"/>
          <w:szCs w:val="44"/>
          <w:highlight w:val="none"/>
          <w:lang w:val="en-US" w:eastAsia="zh-CN"/>
        </w:rPr>
      </w:pPr>
      <w:r>
        <w:rPr>
          <w:rFonts w:hint="eastAsia" w:ascii="宋体" w:hAnsi="宋体"/>
          <w:b/>
          <w:bCs/>
          <w:sz w:val="44"/>
          <w:szCs w:val="44"/>
          <w:highlight w:val="none"/>
        </w:rPr>
        <w:t>太湖内源污染治理（太湖西岸宜兴近岸区域）</w:t>
      </w:r>
      <w:r>
        <w:rPr>
          <w:rFonts w:hint="eastAsia" w:ascii="宋体" w:hAnsi="宋体"/>
          <w:b/>
          <w:bCs/>
          <w:sz w:val="44"/>
          <w:szCs w:val="44"/>
          <w:highlight w:val="none"/>
          <w:lang w:val="en-US" w:eastAsia="zh-CN"/>
        </w:rPr>
        <w:t>2025-2026年度工程固化土及余水第三方检测服务</w:t>
      </w:r>
    </w:p>
    <w:p w14:paraId="68652E7C">
      <w:pPr>
        <w:pStyle w:val="15"/>
        <w:ind w:firstLine="0" w:firstLineChars="0"/>
        <w:rPr>
          <w:rFonts w:ascii="宋体" w:hAnsi="宋体"/>
          <w:b/>
          <w:bCs/>
          <w:sz w:val="48"/>
          <w:szCs w:val="48"/>
          <w:highlight w:val="none"/>
        </w:rPr>
      </w:pPr>
    </w:p>
    <w:p w14:paraId="4092A25A">
      <w:pPr>
        <w:pStyle w:val="15"/>
        <w:ind w:firstLine="0" w:firstLineChars="0"/>
        <w:rPr>
          <w:rFonts w:ascii="宋体" w:hAnsi="宋体"/>
          <w:b/>
          <w:bCs/>
          <w:sz w:val="48"/>
          <w:szCs w:val="48"/>
          <w:highlight w:val="none"/>
        </w:rPr>
      </w:pPr>
    </w:p>
    <w:p w14:paraId="0CBA7D90">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7355C79E">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1928A4DF">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1B863CE3">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676F0F71">
      <w:pPr>
        <w:pStyle w:val="15"/>
        <w:ind w:firstLine="0" w:firstLineChars="0"/>
        <w:rPr>
          <w:rFonts w:ascii="宋体" w:hAnsi="宋体"/>
          <w:sz w:val="28"/>
          <w:szCs w:val="24"/>
          <w:highlight w:val="none"/>
        </w:rPr>
      </w:pPr>
    </w:p>
    <w:p w14:paraId="0DF4B308">
      <w:pPr>
        <w:pStyle w:val="15"/>
        <w:ind w:firstLine="0" w:firstLineChars="0"/>
        <w:rPr>
          <w:rFonts w:ascii="宋体" w:hAnsi="宋体"/>
          <w:sz w:val="28"/>
          <w:szCs w:val="24"/>
          <w:highlight w:val="none"/>
        </w:rPr>
      </w:pPr>
    </w:p>
    <w:p w14:paraId="6F0DC44C">
      <w:pPr>
        <w:pStyle w:val="15"/>
        <w:ind w:firstLine="280"/>
        <w:rPr>
          <w:rFonts w:ascii="宋体" w:hAnsi="宋体"/>
          <w:sz w:val="28"/>
          <w:szCs w:val="24"/>
          <w:highlight w:val="none"/>
        </w:rPr>
      </w:pPr>
    </w:p>
    <w:p w14:paraId="57B40C0F">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项目编号：</w:t>
      </w:r>
      <w:r>
        <w:rPr>
          <w:rFonts w:hint="eastAsia" w:ascii="宋体" w:hAnsi="宋体"/>
          <w:sz w:val="32"/>
          <w:szCs w:val="28"/>
          <w:highlight w:val="none"/>
          <w:lang w:eastAsia="zh-CN"/>
        </w:rPr>
        <w:t>YXGYJT202601012</w:t>
      </w:r>
    </w:p>
    <w:p w14:paraId="00081B23">
      <w:pPr>
        <w:spacing w:line="360" w:lineRule="auto"/>
        <w:jc w:val="center"/>
        <w:rPr>
          <w:rFonts w:ascii="宋体" w:hAnsi="宋体"/>
          <w:sz w:val="32"/>
          <w:szCs w:val="28"/>
          <w:highlight w:val="none"/>
        </w:rPr>
      </w:pPr>
      <w:r>
        <w:rPr>
          <w:rFonts w:hint="eastAsia" w:ascii="宋体" w:hAnsi="宋体"/>
          <w:sz w:val="32"/>
          <w:szCs w:val="28"/>
          <w:highlight w:val="none"/>
        </w:rPr>
        <w:t>采购人：江苏宜公投蓝藻资源开发有限公司</w:t>
      </w:r>
    </w:p>
    <w:p w14:paraId="520D7C7E">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项目名称：</w:t>
      </w:r>
      <w:r>
        <w:rPr>
          <w:rFonts w:hint="eastAsia" w:ascii="宋体" w:hAnsi="宋体"/>
          <w:sz w:val="32"/>
          <w:szCs w:val="28"/>
          <w:highlight w:val="none"/>
          <w:lang w:eastAsia="zh-CN"/>
        </w:rPr>
        <w:t>太湖内源污染治理（太湖西岸宜兴近岸区域）2025-2026年度工程固化土及余水第三方检测服务</w:t>
      </w:r>
    </w:p>
    <w:p w14:paraId="4547BECD">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50F69674">
      <w:pPr>
        <w:spacing w:line="360" w:lineRule="auto"/>
        <w:jc w:val="center"/>
        <w:rPr>
          <w:rFonts w:ascii="宋体" w:hAnsi="宋体"/>
          <w:sz w:val="32"/>
          <w:szCs w:val="28"/>
          <w:highlight w:val="none"/>
        </w:rPr>
      </w:pPr>
      <w:r>
        <w:rPr>
          <w:rFonts w:hint="eastAsia" w:ascii="宋体" w:hAnsi="宋体"/>
          <w:sz w:val="32"/>
          <w:szCs w:val="28"/>
          <w:highlight w:val="none"/>
        </w:rPr>
        <w:t>二〇二</w:t>
      </w:r>
      <w:r>
        <w:rPr>
          <w:rFonts w:hint="eastAsia" w:ascii="宋体" w:hAnsi="宋体"/>
          <w:sz w:val="32"/>
          <w:szCs w:val="28"/>
          <w:highlight w:val="none"/>
          <w:lang w:val="en-US" w:eastAsia="zh-CN"/>
        </w:rPr>
        <w:t>六</w:t>
      </w:r>
      <w:r>
        <w:rPr>
          <w:rFonts w:hint="eastAsia" w:ascii="宋体" w:hAnsi="宋体"/>
          <w:sz w:val="32"/>
          <w:szCs w:val="28"/>
          <w:highlight w:val="none"/>
        </w:rPr>
        <w:t>年</w:t>
      </w:r>
      <w:r>
        <w:rPr>
          <w:rFonts w:hint="eastAsia" w:ascii="宋体" w:hAnsi="宋体"/>
          <w:sz w:val="32"/>
          <w:szCs w:val="28"/>
          <w:highlight w:val="none"/>
          <w:lang w:val="en-US" w:eastAsia="zh-CN"/>
        </w:rPr>
        <w:t>二</w:t>
      </w:r>
      <w:r>
        <w:rPr>
          <w:rFonts w:hint="eastAsia" w:ascii="宋体" w:hAnsi="宋体"/>
          <w:sz w:val="32"/>
          <w:szCs w:val="28"/>
          <w:highlight w:val="none"/>
        </w:rPr>
        <w:t>月</w:t>
      </w:r>
    </w:p>
    <w:p w14:paraId="64F2B662">
      <w:pPr>
        <w:spacing w:line="360" w:lineRule="auto"/>
        <w:rPr>
          <w:rStyle w:val="41"/>
          <w:rFonts w:ascii="宋体" w:hAnsi="宋体"/>
          <w:szCs w:val="24"/>
          <w:highlight w:val="none"/>
        </w:rPr>
        <w:sectPr>
          <w:footerReference r:id="rId4" w:type="first"/>
          <w:footerReference r:id="rId3" w:type="default"/>
          <w:pgSz w:w="11906" w:h="16838"/>
          <w:pgMar w:top="850" w:right="850" w:bottom="850" w:left="850" w:header="397" w:footer="397" w:gutter="0"/>
          <w:pgNumType w:fmt="numberInDash" w:start="1"/>
          <w:cols w:space="0" w:num="1"/>
          <w:rtlGutter w:val="0"/>
          <w:docGrid w:linePitch="312" w:charSpace="0"/>
        </w:sectPr>
      </w:pPr>
      <w:r>
        <w:rPr>
          <w:rFonts w:ascii="宋体" w:hAnsi="宋体"/>
          <w:sz w:val="24"/>
          <w:szCs w:val="24"/>
          <w:highlight w:val="none"/>
        </w:rPr>
        <w:t xml:space="preserve">                                                                        </w:t>
      </w:r>
    </w:p>
    <w:p w14:paraId="4D19FABB">
      <w:pPr>
        <w:spacing w:line="360" w:lineRule="auto"/>
        <w:jc w:val="center"/>
        <w:rPr>
          <w:rFonts w:ascii="宋体" w:hAnsi="宋体"/>
          <w:b/>
          <w:sz w:val="28"/>
          <w:szCs w:val="24"/>
          <w:highlight w:val="none"/>
          <w:lang w:val="zh-CN"/>
        </w:rPr>
      </w:pPr>
      <w:bookmarkStart w:id="0" w:name="_Toc30211"/>
      <w:bookmarkStart w:id="1" w:name="_Toc109650244"/>
    </w:p>
    <w:p w14:paraId="76116B0F">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3A1E5802">
      <w:pPr>
        <w:pStyle w:val="26"/>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7F864D5">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28747D7C">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三</w:t>
      </w:r>
      <w:r>
        <w:rPr>
          <w:rStyle w:val="43"/>
          <w:rFonts w:hint="eastAsia" w:ascii="宋体" w:hAnsi="宋体"/>
          <w:b/>
          <w:sz w:val="28"/>
          <w:szCs w:val="28"/>
          <w:highlight w:val="none"/>
        </w:rPr>
        <w:t>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65D7D5AF">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四</w:t>
      </w:r>
      <w:r>
        <w:rPr>
          <w:rStyle w:val="43"/>
          <w:rFonts w:hint="eastAsia" w:ascii="宋体" w:hAnsi="宋体"/>
          <w:b/>
          <w:sz w:val="28"/>
          <w:szCs w:val="28"/>
          <w:highlight w:val="none"/>
        </w:rPr>
        <w:t>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587D2C53">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五</w:t>
      </w:r>
      <w:r>
        <w:rPr>
          <w:rStyle w:val="43"/>
          <w:rFonts w:hint="eastAsia" w:ascii="宋体" w:hAnsi="宋体"/>
          <w:b/>
          <w:sz w:val="28"/>
          <w:szCs w:val="28"/>
          <w:highlight w:val="none"/>
        </w:rPr>
        <w:t>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135F12EF">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089CA138">
      <w:pPr>
        <w:spacing w:line="360" w:lineRule="auto"/>
        <w:jc w:val="center"/>
        <w:outlineLvl w:val="0"/>
        <w:rPr>
          <w:rFonts w:ascii="宋体" w:hAnsi="宋体"/>
          <w:b/>
          <w:sz w:val="24"/>
          <w:szCs w:val="24"/>
          <w:highlight w:val="none"/>
        </w:rPr>
        <w:sectPr>
          <w:headerReference r:id="rId5" w:type="default"/>
          <w:footerReference r:id="rId6" w:type="default"/>
          <w:pgSz w:w="11906" w:h="16838"/>
          <w:pgMar w:top="850" w:right="850" w:bottom="850" w:left="850" w:header="397" w:footer="397" w:gutter="0"/>
          <w:pgNumType w:fmt="numberInDash" w:start="1"/>
          <w:cols w:space="0" w:num="1"/>
          <w:rtlGutter w:val="0"/>
          <w:docGrid w:linePitch="312" w:charSpace="0"/>
        </w:sectPr>
      </w:pPr>
    </w:p>
    <w:p w14:paraId="7E5F4CFD">
      <w:pPr>
        <w:spacing w:line="360" w:lineRule="auto"/>
        <w:jc w:val="center"/>
        <w:outlineLvl w:val="0"/>
        <w:rPr>
          <w:rFonts w:ascii="宋体" w:hAnsi="宋体"/>
          <w:b/>
          <w:sz w:val="24"/>
          <w:szCs w:val="24"/>
          <w:highlight w:val="none"/>
        </w:rPr>
      </w:pPr>
      <w:bookmarkStart w:id="2" w:name="_Toc109652648"/>
      <w:bookmarkStart w:id="3" w:name="_Toc109652600"/>
      <w:bookmarkStart w:id="4" w:name="_Toc167975509"/>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0"/>
      <w:bookmarkEnd w:id="1"/>
      <w:bookmarkEnd w:id="2"/>
      <w:bookmarkEnd w:id="3"/>
      <w:bookmarkEnd w:id="4"/>
    </w:p>
    <w:p w14:paraId="7677F42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江苏宜公投蓝藻资源开发有限公司对</w:t>
      </w:r>
      <w:r>
        <w:rPr>
          <w:rFonts w:hint="eastAsia" w:ascii="宋体" w:hAnsi="宋体"/>
          <w:bCs/>
          <w:sz w:val="24"/>
          <w:szCs w:val="24"/>
          <w:highlight w:val="none"/>
          <w:lang w:eastAsia="zh-CN"/>
        </w:rPr>
        <w:t>太湖内源污染治理（太湖西岸宜兴近岸区域）2025-2026年度工程固化土及余水第三方检测服务</w:t>
      </w:r>
      <w:r>
        <w:rPr>
          <w:rFonts w:hint="eastAsia" w:ascii="宋体" w:hAnsi="宋体"/>
          <w:bCs/>
          <w:sz w:val="24"/>
          <w:szCs w:val="24"/>
          <w:highlight w:val="none"/>
        </w:rPr>
        <w:t>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2E0D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7AE52E08">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5" w:name="_Toc29543"/>
            <w:r>
              <w:rPr>
                <w:rFonts w:hint="eastAsia" w:asciiTheme="minorEastAsia" w:hAnsiTheme="minorEastAsia" w:eastAsiaTheme="minorEastAsia"/>
                <w:bCs/>
                <w:sz w:val="24"/>
                <w:szCs w:val="24"/>
                <w:highlight w:val="none"/>
              </w:rPr>
              <w:t>序号</w:t>
            </w:r>
          </w:p>
        </w:tc>
        <w:tc>
          <w:tcPr>
            <w:tcW w:w="8979" w:type="dxa"/>
            <w:gridSpan w:val="4"/>
          </w:tcPr>
          <w:p w14:paraId="1EDB688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269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BBA90F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default" w:asciiTheme="minorEastAsia" w:hAnsiTheme="minorEastAsia" w:eastAsiaTheme="minorEastAsia"/>
                <w:bCs/>
                <w:sz w:val="24"/>
                <w:szCs w:val="24"/>
                <w:highlight w:val="none"/>
              </w:rPr>
              <w:t>1</w:t>
            </w:r>
          </w:p>
        </w:tc>
        <w:tc>
          <w:tcPr>
            <w:tcW w:w="8979" w:type="dxa"/>
            <w:gridSpan w:val="4"/>
          </w:tcPr>
          <w:p w14:paraId="46C37A88">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bookmarkStart w:id="6" w:name="OLE_LINK192"/>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00696846">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YXGYJT202601012</w:t>
            </w:r>
          </w:p>
          <w:p w14:paraId="7F444EA2">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5845671C">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项目名称：</w:t>
            </w:r>
            <w:r>
              <w:rPr>
                <w:rFonts w:hint="eastAsia" w:asciiTheme="minorEastAsia" w:hAnsiTheme="minorEastAsia" w:eastAsiaTheme="minorEastAsia"/>
                <w:bCs/>
                <w:sz w:val="24"/>
                <w:szCs w:val="24"/>
                <w:highlight w:val="none"/>
                <w:lang w:eastAsia="zh-CN"/>
              </w:rPr>
              <w:t>太湖内源污染治理（太湖西岸宜兴近岸区域）2025-2026年度工程固化土及余水第三方检测服务</w:t>
            </w:r>
          </w:p>
          <w:p w14:paraId="6FB4126D">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5C7A19B5">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rPr>
              <w:t>评标方法：</w:t>
            </w:r>
            <w:r>
              <w:rPr>
                <w:rFonts w:hint="eastAsia" w:asciiTheme="minorEastAsia" w:hAnsiTheme="minorEastAsia" w:eastAsiaTheme="minorEastAsia"/>
                <w:bCs/>
                <w:sz w:val="24"/>
                <w:szCs w:val="24"/>
                <w:highlight w:val="none"/>
                <w:lang w:val="en-US" w:eastAsia="zh-CN"/>
              </w:rPr>
              <w:t>最低评标价法</w:t>
            </w:r>
          </w:p>
          <w:bookmarkEnd w:id="6"/>
          <w:p w14:paraId="3C6BDDFE">
            <w:pPr>
              <w:keepNext w:val="0"/>
              <w:keepLines w:val="0"/>
              <w:suppressLineNumbers w:val="0"/>
              <w:snapToGrid w:val="0"/>
              <w:spacing w:before="0" w:beforeAutospacing="0" w:after="0" w:afterAutospacing="0" w:line="400" w:lineRule="exact"/>
              <w:ind w:left="0" w:right="0"/>
              <w:jc w:val="left"/>
              <w:rPr>
                <w:rFonts w:hint="default" w:eastAsia="宋体" w:asciiTheme="minorEastAsia" w:hAnsiTheme="minorEastAsia"/>
                <w:bCs/>
                <w:sz w:val="24"/>
                <w:szCs w:val="24"/>
                <w:highlight w:val="none"/>
                <w:lang w:val="en-US" w:eastAsia="zh-CN"/>
              </w:rPr>
            </w:pPr>
            <w:r>
              <w:rPr>
                <w:rFonts w:hint="default"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hint="default"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lang w:val="en-US" w:eastAsia="zh-CN"/>
              </w:rPr>
              <w:t>23.00万</w:t>
            </w:r>
            <w:r>
              <w:rPr>
                <w:rFonts w:hint="eastAsia" w:asciiTheme="minorEastAsia" w:hAnsiTheme="minorEastAsia" w:eastAsiaTheme="minorEastAsia"/>
                <w:bCs/>
                <w:sz w:val="24"/>
                <w:szCs w:val="24"/>
                <w:highlight w:val="none"/>
              </w:rPr>
              <w:t>元</w:t>
            </w:r>
          </w:p>
        </w:tc>
      </w:tr>
      <w:tr w14:paraId="19D8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0AB8B6D9">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7" w:name="OLE_LINK61" w:colFirst="1" w:colLast="1"/>
            <w:r>
              <w:rPr>
                <w:rFonts w:hint="default" w:asciiTheme="minorEastAsia" w:hAnsiTheme="minorEastAsia" w:eastAsiaTheme="minorEastAsia"/>
                <w:bCs/>
                <w:sz w:val="24"/>
                <w:szCs w:val="24"/>
                <w:highlight w:val="none"/>
              </w:rPr>
              <w:t>2</w:t>
            </w:r>
          </w:p>
        </w:tc>
        <w:tc>
          <w:tcPr>
            <w:tcW w:w="516" w:type="dxa"/>
            <w:vMerge w:val="restart"/>
            <w:vAlign w:val="center"/>
          </w:tcPr>
          <w:p w14:paraId="34BB28CF">
            <w:pPr>
              <w:pStyle w:val="148"/>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szCs w:val="24"/>
                <w:highlight w:val="none"/>
              </w:rPr>
            </w:pPr>
            <w:bookmarkStart w:id="8" w:name="OLE_LINK208"/>
            <w:r>
              <w:rPr>
                <w:rFonts w:hint="eastAsia" w:asciiTheme="minorEastAsia" w:hAnsiTheme="minorEastAsia" w:eastAsiaTheme="minorEastAsia"/>
                <w:b/>
                <w:bCs/>
                <w:szCs w:val="24"/>
                <w:highlight w:val="none"/>
                <w:lang w:val="zh-CN"/>
              </w:rPr>
              <w:t>资格审查</w:t>
            </w:r>
            <w:bookmarkEnd w:id="8"/>
          </w:p>
        </w:tc>
        <w:tc>
          <w:tcPr>
            <w:tcW w:w="8463" w:type="dxa"/>
            <w:gridSpan w:val="3"/>
          </w:tcPr>
          <w:p w14:paraId="792F074F">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276AAD67">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73B35A1B">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3054376D">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3EF886B7">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3A3915E2">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570247D2">
            <w:pPr>
              <w:pStyle w:val="148"/>
              <w:keepNext w:val="0"/>
              <w:keepLines w:val="0"/>
              <w:suppressLineNumbers w:val="0"/>
              <w:spacing w:before="0" w:beforeAutospacing="0" w:after="0" w:afterAutospacing="0"/>
              <w:ind w:left="0" w:right="0"/>
              <w:rPr>
                <w:rFonts w:hint="eastAsia"/>
                <w:szCs w:val="20"/>
                <w:highlight w:val="none"/>
                <w:lang w:val="zh-CN"/>
              </w:rPr>
            </w:pPr>
            <w:r>
              <w:rPr>
                <w:rFonts w:hint="eastAsia" w:asciiTheme="minorEastAsia" w:hAnsiTheme="minorEastAsia" w:eastAsiaTheme="minorEastAsia"/>
                <w:szCs w:val="24"/>
                <w:highlight w:val="none"/>
                <w:lang w:val="zh-CN"/>
              </w:rPr>
              <w:t>⑥</w:t>
            </w:r>
            <w:r>
              <w:rPr>
                <w:rFonts w:hint="eastAsia"/>
                <w:szCs w:val="20"/>
                <w:highlight w:val="none"/>
                <w:lang w:val="zh-CN"/>
              </w:rPr>
              <w:t>良好的信用记录</w:t>
            </w:r>
            <w:r>
              <w:rPr>
                <w:rFonts w:hint="eastAsia"/>
                <w:szCs w:val="20"/>
                <w:highlight w:val="none"/>
              </w:rPr>
              <w:t>：</w:t>
            </w:r>
            <w:r>
              <w:rPr>
                <w:rFonts w:hint="eastAsia"/>
                <w:szCs w:val="20"/>
                <w:highlight w:val="none"/>
                <w:lang w:val="zh-CN"/>
              </w:rPr>
              <w:t>投标截止时间之前</w:t>
            </w:r>
            <w:r>
              <w:rPr>
                <w:rFonts w:hint="eastAsia"/>
                <w:szCs w:val="20"/>
                <w:highlight w:val="none"/>
              </w:rPr>
              <w:t>，</w:t>
            </w:r>
            <w:r>
              <w:rPr>
                <w:rFonts w:hint="eastAsia"/>
                <w:szCs w:val="20"/>
                <w:highlight w:val="none"/>
                <w:lang w:val="zh-CN"/>
              </w:rPr>
              <w:t>未被</w:t>
            </w:r>
            <w:r>
              <w:rPr>
                <w:rFonts w:hint="eastAsia"/>
                <w:szCs w:val="20"/>
                <w:highlight w:val="none"/>
              </w:rPr>
              <w:t>“</w:t>
            </w:r>
            <w:r>
              <w:rPr>
                <w:rFonts w:hint="eastAsia"/>
                <w:szCs w:val="20"/>
                <w:highlight w:val="none"/>
                <w:lang w:val="zh-CN"/>
              </w:rPr>
              <w:t>信用中国</w:t>
            </w:r>
            <w:r>
              <w:rPr>
                <w:rFonts w:hint="eastAsia"/>
                <w:szCs w:val="20"/>
                <w:highlight w:val="none"/>
              </w:rPr>
              <w:t>”</w:t>
            </w:r>
            <w:r>
              <w:rPr>
                <w:rFonts w:hint="eastAsia"/>
                <w:szCs w:val="20"/>
                <w:highlight w:val="none"/>
                <w:lang w:val="zh-CN"/>
              </w:rPr>
              <w:t>网站</w:t>
            </w:r>
            <w:r>
              <w:rPr>
                <w:rFonts w:hint="eastAsia"/>
                <w:szCs w:val="20"/>
                <w:highlight w:val="none"/>
              </w:rPr>
              <w:t>（</w:t>
            </w:r>
            <w:r>
              <w:rPr>
                <w:rFonts w:hint="default"/>
                <w:szCs w:val="20"/>
                <w:highlight w:val="none"/>
              </w:rPr>
              <w:fldChar w:fldCharType="begin"/>
            </w:r>
            <w:r>
              <w:rPr>
                <w:rFonts w:hint="default"/>
                <w:szCs w:val="20"/>
                <w:highlight w:val="none"/>
              </w:rPr>
              <w:instrText xml:space="preserve"> HYPERLINK "http://www.creditchina.gov.cn" </w:instrText>
            </w:r>
            <w:r>
              <w:rPr>
                <w:rFonts w:hint="default"/>
                <w:szCs w:val="20"/>
                <w:highlight w:val="none"/>
              </w:rPr>
              <w:fldChar w:fldCharType="separate"/>
            </w:r>
            <w:r>
              <w:rPr>
                <w:rFonts w:hint="eastAsia"/>
                <w:szCs w:val="20"/>
                <w:highlight w:val="none"/>
              </w:rPr>
              <w:t>www.creditchina.gov.cn</w:t>
            </w:r>
            <w:r>
              <w:rPr>
                <w:rFonts w:hint="eastAsia"/>
                <w:szCs w:val="20"/>
                <w:highlight w:val="none"/>
              </w:rPr>
              <w:fldChar w:fldCharType="end"/>
            </w:r>
            <w:r>
              <w:rPr>
                <w:rFonts w:hint="eastAsia"/>
                <w:szCs w:val="20"/>
                <w:highlight w:val="none"/>
              </w:rPr>
              <w:t>）</w:t>
            </w:r>
            <w:r>
              <w:rPr>
                <w:rFonts w:hint="eastAsia"/>
                <w:szCs w:val="20"/>
                <w:highlight w:val="none"/>
                <w:lang w:val="zh-CN"/>
              </w:rPr>
              <w:t>列入失信被执行人、</w:t>
            </w:r>
            <w:r>
              <w:rPr>
                <w:rFonts w:hint="eastAsia"/>
                <w:szCs w:val="20"/>
                <w:highlight w:val="none"/>
              </w:rPr>
              <w:t>重大税收违法失信主体名单</w:t>
            </w:r>
            <w:r>
              <w:rPr>
                <w:rFonts w:hint="eastAsia"/>
                <w:szCs w:val="20"/>
                <w:highlight w:val="none"/>
                <w:lang w:val="zh-CN"/>
              </w:rPr>
              <w:t>、严重失信主体名单</w:t>
            </w:r>
            <w:r>
              <w:rPr>
                <w:rFonts w:hint="eastAsia"/>
                <w:szCs w:val="20"/>
                <w:highlight w:val="none"/>
              </w:rPr>
              <w:t>，</w:t>
            </w:r>
            <w:r>
              <w:rPr>
                <w:rFonts w:hint="eastAsia"/>
                <w:szCs w:val="20"/>
                <w:highlight w:val="none"/>
                <w:lang w:val="zh-CN"/>
              </w:rPr>
              <w:t>未被</w:t>
            </w:r>
            <w:r>
              <w:rPr>
                <w:rFonts w:hint="eastAsia"/>
                <w:szCs w:val="20"/>
                <w:highlight w:val="none"/>
              </w:rPr>
              <w:t>“</w:t>
            </w:r>
            <w:r>
              <w:rPr>
                <w:rFonts w:hint="eastAsia"/>
                <w:szCs w:val="20"/>
                <w:highlight w:val="none"/>
                <w:lang w:val="zh-CN"/>
              </w:rPr>
              <w:t>中国政府采购网</w:t>
            </w:r>
            <w:r>
              <w:rPr>
                <w:rFonts w:hint="eastAsia"/>
                <w:szCs w:val="20"/>
                <w:highlight w:val="none"/>
              </w:rPr>
              <w:t>”</w:t>
            </w:r>
            <w:r>
              <w:rPr>
                <w:rFonts w:hint="eastAsia"/>
                <w:szCs w:val="20"/>
                <w:highlight w:val="none"/>
                <w:lang w:val="zh-CN"/>
              </w:rPr>
              <w:t>网站</w:t>
            </w:r>
            <w:r>
              <w:rPr>
                <w:rFonts w:hint="eastAsia"/>
                <w:szCs w:val="20"/>
                <w:highlight w:val="none"/>
              </w:rPr>
              <w:t>（www.ccgp.gov.cn）</w:t>
            </w:r>
            <w:r>
              <w:rPr>
                <w:rFonts w:hint="eastAsia"/>
                <w:szCs w:val="20"/>
                <w:highlight w:val="none"/>
                <w:lang w:val="zh-CN"/>
              </w:rPr>
              <w:t>列入政府采购严重违法失信行为记录名单。</w:t>
            </w:r>
          </w:p>
          <w:p w14:paraId="60036708">
            <w:pPr>
              <w:pStyle w:val="31"/>
              <w:keepNext w:val="0"/>
              <w:keepLines w:val="0"/>
              <w:widowControl w:val="0"/>
              <w:suppressLineNumbers w:val="0"/>
              <w:spacing w:before="0" w:beforeAutospacing="0" w:after="0" w:afterAutospacing="0" w:line="276" w:lineRule="auto"/>
              <w:ind w:left="0" w:right="0"/>
              <w:jc w:val="both"/>
              <w:rPr>
                <w:rFonts w:hint="default"/>
                <w:highlight w:val="none"/>
                <w:lang w:val="zh-CN" w:eastAsia="zh-CN"/>
              </w:rPr>
            </w:pP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7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rFonts w:hint="default"/>
                <w:highlight w:val="none"/>
              </w:rPr>
              <w:t>⑦</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p>
          <w:p w14:paraId="17CC79E2">
            <w:pPr>
              <w:keepNext w:val="0"/>
              <w:keepLines w:val="0"/>
              <w:widowControl/>
              <w:suppressLineNumbers w:val="0"/>
              <w:spacing w:before="0" w:beforeAutospacing="0" w:after="0" w:afterAutospacing="0"/>
              <w:ind w:left="0" w:right="0"/>
              <w:jc w:val="left"/>
              <w:rPr>
                <w:rFonts w:hint="eastAsia"/>
                <w:szCs w:val="20"/>
                <w:highlight w:val="none"/>
                <w:lang w:val="zh-CN"/>
              </w:rPr>
            </w:pPr>
            <w:r>
              <w:rPr>
                <w:rFonts w:hint="eastAsia" w:ascii="宋体" w:hAnsi="Times New Roman" w:eastAsia="宋体" w:cs="Times New Roman"/>
                <w:kern w:val="0"/>
                <w:sz w:val="24"/>
                <w:szCs w:val="20"/>
                <w:highlight w:val="none"/>
                <w:u w:color="000000"/>
                <w:lang w:val="en-US" w:eastAsia="zh-CN" w:bidi="ar"/>
              </w:rPr>
              <w:fldChar w:fldCharType="begin"/>
            </w:r>
            <w:r>
              <w:rPr>
                <w:rFonts w:hint="eastAsia" w:ascii="宋体" w:hAnsi="Times New Roman" w:eastAsia="宋体" w:cs="Times New Roman"/>
                <w:kern w:val="0"/>
                <w:sz w:val="24"/>
                <w:szCs w:val="20"/>
                <w:highlight w:val="none"/>
                <w:u w:color="000000"/>
                <w:lang w:val="en-US" w:eastAsia="zh-CN" w:bidi="ar"/>
              </w:rPr>
              <w:instrText xml:space="preserve"> = 8 \* GB3 \* MERGEFORMAT </w:instrText>
            </w:r>
            <w:r>
              <w:rPr>
                <w:rFonts w:hint="eastAsia" w:ascii="宋体" w:hAnsi="Times New Roman" w:eastAsia="宋体" w:cs="Times New Roman"/>
                <w:kern w:val="0"/>
                <w:sz w:val="24"/>
                <w:szCs w:val="20"/>
                <w:highlight w:val="none"/>
                <w:u w:color="000000"/>
                <w:lang w:val="en-US" w:eastAsia="zh-CN" w:bidi="ar"/>
              </w:rPr>
              <w:fldChar w:fldCharType="separate"/>
            </w:r>
            <w:r>
              <w:rPr>
                <w:rFonts w:hint="eastAsia" w:ascii="宋体" w:hAnsi="Times New Roman" w:eastAsia="宋体" w:cs="Times New Roman"/>
                <w:kern w:val="0"/>
                <w:sz w:val="24"/>
                <w:szCs w:val="20"/>
                <w:highlight w:val="none"/>
                <w:u w:color="000000"/>
                <w:lang w:val="zh-CN" w:eastAsia="zh-CN" w:bidi="ar"/>
              </w:rPr>
              <w:t>⑧</w:t>
            </w:r>
            <w:r>
              <w:rPr>
                <w:rFonts w:hint="eastAsia" w:ascii="宋体" w:hAnsi="Times New Roman" w:eastAsia="宋体" w:cs="Times New Roman"/>
                <w:kern w:val="0"/>
                <w:sz w:val="24"/>
                <w:szCs w:val="20"/>
                <w:highlight w:val="none"/>
                <w:u w:color="000000"/>
                <w:lang w:val="en-US" w:eastAsia="zh-CN" w:bidi="ar"/>
              </w:rPr>
              <w:fldChar w:fldCharType="end"/>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tc>
      </w:tr>
      <w:tr w14:paraId="317A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CBA5341">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40C95D7B">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8463" w:type="dxa"/>
            <w:gridSpan w:val="3"/>
          </w:tcPr>
          <w:p w14:paraId="7B77A4A8">
            <w:pPr>
              <w:pStyle w:val="148"/>
              <w:keepNext w:val="0"/>
              <w:keepLines w:val="0"/>
              <w:suppressLineNumbers w:val="0"/>
              <w:spacing w:before="0" w:beforeAutospacing="0" w:after="0" w:afterAutospacing="0"/>
              <w:ind w:left="0" w:right="0"/>
              <w:rPr>
                <w:rFonts w:hint="default"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日下午5:00至202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8:50</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肆</w:t>
            </w:r>
            <w:r>
              <w:rPr>
                <w:rFonts w:hint="eastAsia" w:asciiTheme="minorEastAsia" w:hAnsiTheme="minorEastAsia" w:eastAsiaTheme="minorEastAsia"/>
                <w:szCs w:val="24"/>
                <w:highlight w:val="none"/>
              </w:rPr>
              <w:t>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677E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0C69CEF6">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544626F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2F90DB04">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16EBD2DE">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4CB57EFC">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1F9D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07565BC3">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0C015C1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1FE3E80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p>
              </w:tc>
              <w:tc>
                <w:tcPr>
                  <w:tcW w:w="2022" w:type="dxa"/>
                  <w:vMerge w:val="continue"/>
                  <w:vAlign w:val="center"/>
                </w:tcPr>
                <w:p w14:paraId="7CE4EDA8">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p>
              </w:tc>
            </w:tr>
            <w:tr w14:paraId="471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3D23157C">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1489D246">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51610188000330548</w:t>
                  </w:r>
                  <w:bookmarkStart w:id="271" w:name="_GoBack"/>
                  <w:bookmarkEnd w:id="271"/>
                </w:p>
              </w:tc>
              <w:tc>
                <w:tcPr>
                  <w:tcW w:w="613" w:type="dxa"/>
                  <w:vMerge w:val="continue"/>
                  <w:vAlign w:val="center"/>
                </w:tcPr>
                <w:p w14:paraId="67F21A7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p>
              </w:tc>
              <w:tc>
                <w:tcPr>
                  <w:tcW w:w="2022" w:type="dxa"/>
                  <w:vMerge w:val="continue"/>
                  <w:vAlign w:val="center"/>
                </w:tcPr>
                <w:p w14:paraId="5C778E2E">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p>
              </w:tc>
            </w:tr>
          </w:tbl>
          <w:p w14:paraId="23EA1390">
            <w:pPr>
              <w:keepNext w:val="0"/>
              <w:keepLines w:val="0"/>
              <w:suppressLineNumbers w:val="0"/>
              <w:snapToGrid w:val="0"/>
              <w:spacing w:before="0" w:beforeAutospacing="0" w:after="0" w:afterAutospacing="0" w:line="276" w:lineRule="auto"/>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注：供应商必须在开标前10分钟将保证金汇入以上账户，否则作废标处理,缴纳投标保证金账户为涉密账户，账号随机，请供应商仔细核对账号后缴纳投标保证金。</w:t>
            </w:r>
          </w:p>
        </w:tc>
      </w:tr>
      <w:tr w14:paraId="2A1F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8A5E819">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6C327FC5">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highlight w:val="none"/>
              </w:rPr>
            </w:pPr>
          </w:p>
        </w:tc>
        <w:tc>
          <w:tcPr>
            <w:tcW w:w="8463" w:type="dxa"/>
            <w:gridSpan w:val="3"/>
          </w:tcPr>
          <w:p w14:paraId="28BD02CC">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6090141E">
            <w:pPr>
              <w:keepNext w:val="0"/>
              <w:keepLines w:val="0"/>
              <w:suppressLineNumbers w:val="0"/>
              <w:snapToGrid w:val="0"/>
              <w:spacing w:before="0" w:beforeAutospacing="0" w:after="0" w:afterAutospacing="0"/>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50F5F33D">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758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8C0FE25">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67E8BBF9">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highlight w:val="none"/>
              </w:rPr>
            </w:pPr>
          </w:p>
        </w:tc>
        <w:tc>
          <w:tcPr>
            <w:tcW w:w="8463" w:type="dxa"/>
            <w:gridSpan w:val="3"/>
          </w:tcPr>
          <w:p w14:paraId="5673087C">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7"/>
      <w:tr w14:paraId="2ACC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6E9F433A">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3C42C881">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hint="default"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5A9DA211">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份（需装订后密封）</w:t>
            </w:r>
          </w:p>
          <w:p w14:paraId="75C80B51">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hint="default"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6226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07D9E20B">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7CD7E757">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投标截止时间及开标时间</w:t>
            </w:r>
            <w:r>
              <w:rPr>
                <w:rFonts w:hint="eastAsia" w:asciiTheme="minorEastAsia" w:hAnsiTheme="minorEastAsia" w:eastAsiaTheme="minorEastAsia"/>
                <w:bCs/>
                <w:sz w:val="24"/>
                <w:szCs w:val="24"/>
                <w:highlight w:val="none"/>
              </w:rPr>
              <w:t>：202</w:t>
            </w:r>
            <w:r>
              <w:rPr>
                <w:rFonts w:hint="eastAsia" w:asciiTheme="minorEastAsia" w:hAnsiTheme="minorEastAsia" w:eastAsiaTheme="minorEastAsia"/>
                <w:bCs/>
                <w:sz w:val="24"/>
                <w:szCs w:val="24"/>
                <w:highlight w:val="none"/>
                <w:lang w:val="en-US" w:eastAsia="zh-CN"/>
              </w:rPr>
              <w:t>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6</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3C1D6405">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p>
          <w:p w14:paraId="251874A7">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5A56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3AC160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9"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4F0C8C7A">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17E68F2D">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683DE6F8">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07DC1DE9">
            <w:pPr>
              <w:keepNext w:val="0"/>
              <w:keepLines w:val="0"/>
              <w:suppressLineNumbers w:val="0"/>
              <w:spacing w:before="0" w:beforeAutospacing="0" w:after="0" w:afterAutospacing="0"/>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联系人：</w:t>
            </w:r>
            <w:r>
              <w:rPr>
                <w:rFonts w:hint="eastAsia" w:asciiTheme="minorEastAsia" w:hAnsiTheme="minorEastAsia" w:eastAsiaTheme="minorEastAsia"/>
                <w:bCs/>
                <w:sz w:val="24"/>
                <w:szCs w:val="24"/>
                <w:highlight w:val="none"/>
                <w:lang w:val="en-US" w:eastAsia="zh-CN"/>
              </w:rPr>
              <w:t>梁先生</w:t>
            </w:r>
          </w:p>
          <w:p w14:paraId="2AC16D6B">
            <w:pPr>
              <w:keepNext w:val="0"/>
              <w:keepLines w:val="0"/>
              <w:suppressLineNumbers w:val="0"/>
              <w:spacing w:before="0" w:beforeAutospacing="0" w:after="0" w:afterAutospacing="0"/>
              <w:ind w:left="0" w:right="0"/>
              <w:jc w:val="left"/>
              <w:rPr>
                <w:rFonts w:hint="default" w:eastAsia="宋体" w:asciiTheme="minorEastAsia" w:hAnsiTheme="minorEastAsia"/>
                <w:bCs/>
                <w:sz w:val="24"/>
                <w:szCs w:val="24"/>
                <w:highlight w:val="none"/>
                <w:lang w:val="en-US" w:eastAsia="zh-CN"/>
              </w:rPr>
            </w:pPr>
            <w:r>
              <w:rPr>
                <w:rFonts w:hint="eastAsia" w:asciiTheme="minorEastAsia" w:hAnsiTheme="minorEastAsia" w:eastAsiaTheme="minorEastAsia"/>
                <w:bCs/>
                <w:sz w:val="24"/>
                <w:szCs w:val="24"/>
                <w:highlight w:val="none"/>
              </w:rPr>
              <w:t>联系电话：</w:t>
            </w:r>
            <w:r>
              <w:rPr>
                <w:rFonts w:hint="eastAsia" w:ascii="宋体" w:hAnsi="宋体"/>
                <w:sz w:val="24"/>
                <w:szCs w:val="28"/>
                <w:highlight w:val="none"/>
              </w:rPr>
              <w:t>0510-</w:t>
            </w:r>
            <w:r>
              <w:rPr>
                <w:rFonts w:hint="eastAsia" w:ascii="宋体" w:hAnsi="宋体"/>
                <w:sz w:val="24"/>
                <w:szCs w:val="28"/>
                <w:highlight w:val="none"/>
                <w:lang w:val="en-US" w:eastAsia="zh-CN"/>
              </w:rPr>
              <w:t>80718723</w:t>
            </w:r>
          </w:p>
          <w:p w14:paraId="2C92B96A">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联系地址：宜兴市周铁镇东湖村</w:t>
            </w:r>
          </w:p>
          <w:p w14:paraId="12D0573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71CA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C5DDB0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p>
        </w:tc>
        <w:tc>
          <w:tcPr>
            <w:tcW w:w="645" w:type="dxa"/>
            <w:gridSpan w:val="2"/>
            <w:vMerge w:val="continue"/>
          </w:tcPr>
          <w:p w14:paraId="4946C6A0">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p>
        </w:tc>
        <w:tc>
          <w:tcPr>
            <w:tcW w:w="1785" w:type="dxa"/>
            <w:vAlign w:val="center"/>
          </w:tcPr>
          <w:p w14:paraId="60467F3C">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7E658DA0">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6748FFC3">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联系方式：13771319057</w:t>
            </w:r>
          </w:p>
          <w:p w14:paraId="445D7FE9">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5295D308">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5838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1CE6B085">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p>
        </w:tc>
        <w:tc>
          <w:tcPr>
            <w:tcW w:w="645" w:type="dxa"/>
            <w:gridSpan w:val="2"/>
            <w:vMerge w:val="continue"/>
          </w:tcPr>
          <w:p w14:paraId="4465CBCE">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p>
        </w:tc>
        <w:tc>
          <w:tcPr>
            <w:tcW w:w="1785" w:type="dxa"/>
            <w:vAlign w:val="center"/>
          </w:tcPr>
          <w:p w14:paraId="6F88B87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0B5F956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采购监督管理及投诉处理主体：宜兴市公用环保集团有限公司</w:t>
            </w:r>
          </w:p>
          <w:p w14:paraId="4D019519">
            <w:pPr>
              <w:keepNext w:val="0"/>
              <w:keepLines w:val="0"/>
              <w:suppressLineNumbers w:val="0"/>
              <w:spacing w:before="0" w:beforeAutospacing="0" w:after="0" w:afterAutospacing="0"/>
              <w:ind w:left="0" w:right="0"/>
              <w:jc w:val="left"/>
              <w:rPr>
                <w:rFonts w:hint="default"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14BE10BD">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hint="default"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9"/>
    </w:tbl>
    <w:p w14:paraId="36ACA5FB">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0" w:name="_Toc109650245"/>
      <w:bookmarkStart w:id="11" w:name="_Toc167975510"/>
      <w:bookmarkStart w:id="12" w:name="_Toc109652649"/>
      <w:bookmarkStart w:id="13" w:name="_Toc109652601"/>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5"/>
      <w:bookmarkEnd w:id="10"/>
      <w:bookmarkEnd w:id="11"/>
      <w:bookmarkEnd w:id="12"/>
      <w:bookmarkEnd w:id="13"/>
    </w:p>
    <w:p w14:paraId="3AAECCD4">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7004D2E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0B890AB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5818B0F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5195CADF">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4366A27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0EC64F5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641440AA">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6A0FF63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4E6078C1">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7233681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39F5C233">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2.4代理服务、评标收费标准及金额:</w:t>
      </w:r>
    </w:p>
    <w:p w14:paraId="39FD8438">
      <w:pPr>
        <w:pStyle w:val="140"/>
        <w:numPr>
          <w:ilvl w:val="0"/>
          <w:numId w:val="4"/>
        </w:numPr>
        <w:spacing w:line="360" w:lineRule="auto"/>
        <w:ind w:firstLineChars="0"/>
        <w:rPr>
          <w:rFonts w:ascii="宋体" w:hAnsi="宋体"/>
          <w:b/>
          <w:sz w:val="24"/>
          <w:szCs w:val="24"/>
          <w:highlight w:val="none"/>
        </w:rPr>
      </w:pPr>
      <w:r>
        <w:rPr>
          <w:rFonts w:hint="eastAsia" w:ascii="宋体" w:hAnsi="宋体"/>
          <w:b/>
          <w:sz w:val="24"/>
          <w:szCs w:val="24"/>
          <w:highlight w:val="none"/>
        </w:rPr>
        <w:t>代理服务费：参照国家计委计价格[2002]1980号文件规定的48%计取。</w:t>
      </w:r>
    </w:p>
    <w:p w14:paraId="5263D07B">
      <w:pPr>
        <w:pStyle w:val="140"/>
        <w:numPr>
          <w:ilvl w:val="0"/>
          <w:numId w:val="4"/>
        </w:numPr>
        <w:spacing w:line="360" w:lineRule="auto"/>
        <w:ind w:left="0" w:leftChars="0" w:firstLine="420" w:firstLineChars="0"/>
        <w:rPr>
          <w:rFonts w:hint="eastAsia" w:ascii="宋体" w:hAnsi="宋体"/>
          <w:b/>
          <w:sz w:val="24"/>
          <w:szCs w:val="24"/>
          <w:highlight w:val="none"/>
        </w:rPr>
      </w:pPr>
      <w:r>
        <w:rPr>
          <w:rFonts w:hint="eastAsia" w:ascii="宋体" w:hAnsi="宋体"/>
          <w:b/>
          <w:sz w:val="24"/>
          <w:szCs w:val="24"/>
          <w:highlight w:val="none"/>
        </w:rPr>
        <w:t>上述费用由中标供应商在领取中标通知书时一次性付清，请各供应商将上述费用考虑在</w:t>
      </w:r>
    </w:p>
    <w:p w14:paraId="7B0050DE">
      <w:pPr>
        <w:pStyle w:val="140"/>
        <w:numPr>
          <w:ilvl w:val="0"/>
          <w:numId w:val="0"/>
        </w:numPr>
        <w:spacing w:line="360" w:lineRule="auto"/>
        <w:rPr>
          <w:rFonts w:ascii="宋体" w:hAnsi="宋体"/>
          <w:b/>
          <w:sz w:val="24"/>
          <w:szCs w:val="24"/>
          <w:highlight w:val="none"/>
        </w:rPr>
      </w:pPr>
      <w:r>
        <w:rPr>
          <w:rFonts w:hint="eastAsia" w:ascii="宋体" w:hAnsi="宋体"/>
          <w:b/>
          <w:sz w:val="24"/>
          <w:szCs w:val="24"/>
          <w:highlight w:val="none"/>
        </w:rPr>
        <w:t>内。</w:t>
      </w:r>
    </w:p>
    <w:p w14:paraId="56C58EB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4BC4EC0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203A6D7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5609815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7CFA3C3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4BCB439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2B950CBA">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104075C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65BC055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本文件“第</w:t>
      </w:r>
      <w:r>
        <w:rPr>
          <w:rFonts w:hint="eastAsia" w:ascii="宋体" w:hAnsi="宋体"/>
          <w:bCs/>
          <w:sz w:val="24"/>
          <w:szCs w:val="24"/>
          <w:highlight w:val="none"/>
          <w:lang w:val="en-US" w:eastAsia="zh-CN"/>
        </w:rPr>
        <w:t>三</w:t>
      </w:r>
      <w:r>
        <w:rPr>
          <w:rFonts w:hint="eastAsia" w:ascii="宋体" w:hAnsi="宋体"/>
          <w:bCs/>
          <w:sz w:val="24"/>
          <w:szCs w:val="24"/>
          <w:highlight w:val="none"/>
        </w:rPr>
        <w:t>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4" w:name="OLE_LINK13"/>
      <w:r>
        <w:rPr>
          <w:rFonts w:hint="eastAsia" w:ascii="宋体" w:hAnsi="宋体"/>
          <w:bCs/>
          <w:sz w:val="24"/>
          <w:szCs w:val="24"/>
          <w:highlight w:val="none"/>
        </w:rPr>
        <w:t>采购人负责解释</w:t>
      </w:r>
      <w:bookmarkEnd w:id="14"/>
      <w:r>
        <w:rPr>
          <w:rFonts w:hint="eastAsia" w:ascii="宋体" w:hAnsi="宋体"/>
          <w:bCs/>
          <w:sz w:val="24"/>
          <w:szCs w:val="24"/>
          <w:highlight w:val="none"/>
        </w:rPr>
        <w:t>，其他部分由采购人和代理机构负责解释。</w:t>
      </w:r>
    </w:p>
    <w:p w14:paraId="2FA5B5B9">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261A701C">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5" w:name="OLE_LINK14"/>
      <w:r>
        <w:rPr>
          <w:rFonts w:hint="eastAsia" w:ascii="宋体" w:hAnsi="宋体" w:cs="宋体"/>
          <w:sz w:val="24"/>
          <w:szCs w:val="24"/>
          <w:highlight w:val="none"/>
        </w:rPr>
        <w:t>采购人或者</w:t>
      </w:r>
      <w:bookmarkEnd w:id="15"/>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55DAC463">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488E358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619E852F">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78C2BFDB">
      <w:pPr>
        <w:numPr>
          <w:ilvl w:val="0"/>
          <w:numId w:val="5"/>
        </w:numPr>
        <w:tabs>
          <w:tab w:val="left" w:pos="0"/>
          <w:tab w:val="left" w:pos="255"/>
        </w:tabs>
        <w:spacing w:line="360" w:lineRule="auto"/>
        <w:rPr>
          <w:rFonts w:ascii="宋体" w:hAnsi="宋体"/>
          <w:sz w:val="24"/>
          <w:szCs w:val="24"/>
          <w:highlight w:val="none"/>
          <w:lang w:val="zh-CN"/>
        </w:rPr>
      </w:pPr>
      <w:bookmarkStart w:id="16" w:name="OLE_LINK51"/>
      <w:r>
        <w:rPr>
          <w:rFonts w:hint="eastAsia" w:ascii="宋体" w:hAnsi="宋体"/>
          <w:sz w:val="24"/>
          <w:szCs w:val="24"/>
          <w:highlight w:val="none"/>
          <w:lang w:val="zh-CN"/>
        </w:rPr>
        <w:t>投标函</w:t>
      </w:r>
      <w:bookmarkStart w:id="17"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17"/>
    </w:p>
    <w:p w14:paraId="17A76F23">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67E5FF09">
      <w:pPr>
        <w:tabs>
          <w:tab w:val="left" w:pos="0"/>
          <w:tab w:val="left" w:pos="255"/>
        </w:tabs>
        <w:spacing w:line="360" w:lineRule="auto"/>
        <w:ind w:left="420" w:leftChars="200"/>
        <w:rPr>
          <w:rFonts w:hint="eastAsia"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327E6AB3">
      <w:pPr>
        <w:tabs>
          <w:tab w:val="left" w:pos="0"/>
          <w:tab w:val="left" w:pos="255"/>
        </w:tabs>
        <w:spacing w:line="360" w:lineRule="auto"/>
        <w:ind w:left="420" w:leftChars="200"/>
        <w:rPr>
          <w:rFonts w:hint="default" w:ascii="宋体" w:hAnsi="宋体" w:eastAsia="宋体"/>
          <w:sz w:val="24"/>
          <w:szCs w:val="24"/>
          <w:highlight w:val="none"/>
          <w:lang w:val="en-US" w:eastAsia="zh-CN"/>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sz w:val="24"/>
          <w:szCs w:val="24"/>
          <w:highlight w:val="none"/>
          <w:lang w:val="en-US" w:eastAsia="zh-CN"/>
        </w:rPr>
        <w:t>明细报价表（</w:t>
      </w:r>
      <w:r>
        <w:rPr>
          <w:rFonts w:hint="eastAsia" w:ascii="宋体" w:hAnsi="宋体"/>
          <w:sz w:val="24"/>
          <w:szCs w:val="24"/>
          <w:highlight w:val="none"/>
        </w:rPr>
        <w:t>格式见附件</w:t>
      </w:r>
      <w:r>
        <w:rPr>
          <w:rFonts w:hint="eastAsia" w:ascii="宋体" w:hAnsi="宋体" w:cs="宋体"/>
          <w:sz w:val="24"/>
          <w:szCs w:val="24"/>
          <w:highlight w:val="none"/>
          <w:lang w:val="en-US" w:eastAsia="zh-CN"/>
        </w:rPr>
        <w:t>）。</w:t>
      </w:r>
    </w:p>
    <w:p w14:paraId="6F6E8675">
      <w:pPr>
        <w:numPr>
          <w:ilvl w:val="0"/>
          <w:numId w:val="5"/>
        </w:numPr>
        <w:tabs>
          <w:tab w:val="left" w:pos="0"/>
          <w:tab w:val="left" w:pos="255"/>
        </w:tabs>
        <w:spacing w:line="360" w:lineRule="auto"/>
        <w:rPr>
          <w:rFonts w:ascii="宋体" w:hAnsi="宋体"/>
          <w:sz w:val="24"/>
          <w:szCs w:val="24"/>
          <w:highlight w:val="none"/>
        </w:rPr>
      </w:pPr>
      <w:bookmarkStart w:id="18" w:name="OLE_LINK20"/>
      <w:r>
        <w:rPr>
          <w:rFonts w:hint="eastAsia" w:ascii="宋体" w:hAnsi="宋体"/>
          <w:sz w:val="24"/>
          <w:szCs w:val="24"/>
          <w:highlight w:val="none"/>
        </w:rPr>
        <w:t>资格证明文件</w:t>
      </w:r>
      <w:bookmarkEnd w:id="18"/>
      <w:r>
        <w:rPr>
          <w:rFonts w:hint="eastAsia" w:ascii="宋体" w:hAnsi="宋体"/>
          <w:sz w:val="24"/>
          <w:szCs w:val="24"/>
          <w:highlight w:val="none"/>
        </w:rPr>
        <w:t>：</w:t>
      </w:r>
    </w:p>
    <w:p w14:paraId="1AECE715">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7FBAE907">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06741BB2">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CA8C20B">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供应商为法人或其他组织的提供营业执照或法人（登记）证书，供应商为自然人的提供自然人身份证；</w:t>
      </w:r>
      <w:r>
        <w:rPr>
          <w:rFonts w:hint="eastAsia" w:hAnsi="宋体" w:cs="宋体"/>
          <w:b/>
          <w:szCs w:val="24"/>
          <w:highlight w:val="none"/>
        </w:rPr>
        <w:t>（开标时提供原件或公证件）</w:t>
      </w:r>
    </w:p>
    <w:p w14:paraId="3888CE76">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35C2C30F">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2EC4E790">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73DBBA08">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058BC1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052E93B">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409FBD9E">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1097D7CC">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27D908DF">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5B791DD5">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592BF1E6">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241CF222">
      <w:pPr>
        <w:pStyle w:val="31"/>
        <w:keepNext w:val="0"/>
        <w:keepLines w:val="0"/>
        <w:widowControl w:val="0"/>
        <w:suppressLineNumbers w:val="0"/>
        <w:spacing w:before="0" w:beforeAutospacing="0" w:after="0" w:afterAutospacing="0" w:line="360" w:lineRule="auto"/>
        <w:ind w:left="0" w:right="0"/>
        <w:jc w:val="both"/>
        <w:rPr>
          <w:highlight w:val="none"/>
          <w:lang w:val="zh-CN" w:eastAsia="zh-CN"/>
        </w:rPr>
      </w:pPr>
      <w:r>
        <w:rPr>
          <w:rFonts w:hint="eastAsia" w:ascii="宋体" w:hAnsi="宋体" w:cs="宋体"/>
          <w:b/>
          <w:sz w:val="24"/>
          <w:szCs w:val="24"/>
          <w:highlight w:val="none"/>
          <w:lang w:val="en-US" w:eastAsia="zh-CN"/>
        </w:rPr>
        <w:t xml:space="preserve">    </w:t>
      </w: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10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highlight w:val="none"/>
        </w:rPr>
        <w:t>⑩</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r>
        <w:rPr>
          <w:rFonts w:hint="eastAsia" w:hAnsi="Times New Roman" w:cs="Times New Roman"/>
          <w:kern w:val="0"/>
          <w:sz w:val="24"/>
          <w:szCs w:val="20"/>
          <w:highlight w:val="none"/>
          <w:u w:color="000000"/>
          <w:lang w:val="en-US" w:eastAsia="zh-CN" w:bidi="ar"/>
        </w:rPr>
        <w:t>复印件</w:t>
      </w:r>
      <w:r>
        <w:rPr>
          <w:rFonts w:hint="eastAsia" w:ascii="宋体" w:hAnsi="Times New Roman" w:eastAsia="宋体" w:cs="Times New Roman"/>
          <w:kern w:val="0"/>
          <w:sz w:val="24"/>
          <w:szCs w:val="20"/>
          <w:highlight w:val="none"/>
          <w:u w:color="000000"/>
          <w:lang w:val="zh-CN" w:eastAsia="zh-CN" w:bidi="ar"/>
        </w:rPr>
        <w:t>；</w:t>
      </w:r>
    </w:p>
    <w:p w14:paraId="19BE5DB3">
      <w:pPr>
        <w:tabs>
          <w:tab w:val="left" w:pos="0"/>
          <w:tab w:val="left" w:pos="255"/>
        </w:tabs>
        <w:spacing w:line="360" w:lineRule="auto"/>
        <w:ind w:firstLine="480" w:firstLineChars="200"/>
        <w:contextualSpacing/>
        <w:rPr>
          <w:rFonts w:hint="default" w:ascii="宋体" w:hAnsi="宋体" w:eastAsia="宋体" w:cs="宋体"/>
          <w:b/>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⑪</w:t>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p w14:paraId="31F06545">
      <w:pPr>
        <w:tabs>
          <w:tab w:val="left" w:pos="0"/>
          <w:tab w:val="left" w:pos="255"/>
        </w:tabs>
        <w:spacing w:line="360" w:lineRule="auto"/>
        <w:ind w:firstLine="480" w:firstLineChars="200"/>
        <w:rPr>
          <w:rFonts w:ascii="宋体" w:hAnsi="宋体"/>
          <w:sz w:val="24"/>
          <w:szCs w:val="24"/>
          <w:highlight w:val="none"/>
        </w:rPr>
      </w:pPr>
      <w:bookmarkStart w:id="19" w:name="OLE_LINK114"/>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bookmarkEnd w:id="19"/>
    <w:p w14:paraId="5F5930F1">
      <w:pPr>
        <w:numPr>
          <w:ilvl w:val="0"/>
          <w:numId w:val="5"/>
        </w:numPr>
        <w:tabs>
          <w:tab w:val="left" w:pos="0"/>
          <w:tab w:val="left" w:pos="255"/>
        </w:tabs>
        <w:spacing w:line="360" w:lineRule="auto"/>
        <w:rPr>
          <w:rFonts w:ascii="宋体" w:hAnsi="宋体"/>
          <w:sz w:val="24"/>
          <w:szCs w:val="24"/>
          <w:highlight w:val="none"/>
        </w:rPr>
      </w:pPr>
      <w:bookmarkStart w:id="20" w:name="OLE_LINK4"/>
      <w:r>
        <w:rPr>
          <w:rFonts w:hint="eastAsia" w:ascii="宋体" w:hAnsi="宋体"/>
          <w:sz w:val="24"/>
          <w:szCs w:val="24"/>
          <w:highlight w:val="none"/>
        </w:rPr>
        <w:t>招标文件</w:t>
      </w:r>
      <w:bookmarkEnd w:id="20"/>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章“项目技术要求和有关说明”中要求提供的相关证明材料</w:t>
      </w:r>
      <w:bookmarkStart w:id="21" w:name="OLE_LINK6"/>
      <w:r>
        <w:rPr>
          <w:rFonts w:hint="eastAsia" w:ascii="宋体" w:hAnsi="宋体"/>
          <w:sz w:val="24"/>
          <w:szCs w:val="24"/>
          <w:highlight w:val="none"/>
        </w:rPr>
        <w:t>（如有自行添加）</w:t>
      </w:r>
      <w:bookmarkEnd w:id="21"/>
    </w:p>
    <w:p w14:paraId="61E0D9FE">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en-US" w:eastAsia="zh-CN"/>
        </w:rPr>
        <w:t>技术参数偏离表</w:t>
      </w:r>
    </w:p>
    <w:p w14:paraId="631AC34C">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2CFE3FEE">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4A57C58E">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6"/>
    <w:p w14:paraId="1C84A438">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w:t>
      </w:r>
      <w:r>
        <w:rPr>
          <w:rFonts w:hint="eastAsia" w:ascii="宋体" w:hAnsi="宋体"/>
          <w:b/>
          <w:sz w:val="24"/>
          <w:szCs w:val="24"/>
          <w:highlight w:val="none"/>
          <w:lang w:val="en-US" w:eastAsia="zh-CN"/>
        </w:rPr>
        <w:t>5</w:t>
      </w:r>
      <w:r>
        <w:rPr>
          <w:rFonts w:ascii="宋体" w:hAnsi="宋体"/>
          <w:b/>
          <w:sz w:val="24"/>
          <w:szCs w:val="24"/>
          <w:highlight w:val="none"/>
        </w:rPr>
        <w:t>）项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2" w:name="OLE_LINK19"/>
      <w:r>
        <w:rPr>
          <w:rFonts w:hint="eastAsia" w:ascii="宋体" w:hAnsi="宋体"/>
          <w:bCs/>
          <w:sz w:val="24"/>
          <w:szCs w:val="24"/>
          <w:highlight w:val="none"/>
        </w:rPr>
        <w:t>不需要缴纳社会保障资金</w:t>
      </w:r>
      <w:bookmarkEnd w:id="22"/>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65315E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3" w:name="_Toc23231"/>
      <w:bookmarkStart w:id="24" w:name="_Toc19624"/>
      <w:bookmarkStart w:id="25" w:name="_Toc520356155"/>
      <w:bookmarkStart w:id="26" w:name="_Toc515647770"/>
      <w:bookmarkStart w:id="27" w:name="_Toc2248"/>
      <w:r>
        <w:rPr>
          <w:rFonts w:hint="eastAsia" w:ascii="宋体" w:hAnsi="宋体"/>
          <w:b/>
          <w:sz w:val="24"/>
          <w:szCs w:val="24"/>
          <w:highlight w:val="none"/>
        </w:rPr>
        <w:t>投标报价</w:t>
      </w:r>
      <w:bookmarkEnd w:id="23"/>
      <w:bookmarkEnd w:id="24"/>
      <w:bookmarkEnd w:id="25"/>
      <w:bookmarkEnd w:id="26"/>
      <w:bookmarkEnd w:id="27"/>
    </w:p>
    <w:p w14:paraId="454A951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28" w:name="OLE_LINK204"/>
      <w:r>
        <w:rPr>
          <w:rFonts w:hint="eastAsia" w:ascii="宋体" w:hAnsi="宋体"/>
          <w:bCs/>
          <w:sz w:val="24"/>
          <w:szCs w:val="24"/>
          <w:highlight w:val="none"/>
          <w:lang w:val="zh-CN"/>
        </w:rPr>
        <w:t>。</w:t>
      </w:r>
      <w:bookmarkEnd w:id="28"/>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64F278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574945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49A0F139">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554657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35EFD9A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032BEE9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7F0AA5F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29" w:name="OLE_LINK119"/>
      <w:r>
        <w:rPr>
          <w:rFonts w:hint="eastAsia" w:ascii="宋体" w:hAnsi="宋体"/>
          <w:bCs/>
          <w:sz w:val="24"/>
          <w:szCs w:val="24"/>
          <w:highlight w:val="none"/>
          <w:lang w:val="zh-CN"/>
        </w:rPr>
        <w:t>则视同</w:t>
      </w:r>
      <w:bookmarkStart w:id="30" w:name="OLE_LINK225"/>
      <w:r>
        <w:rPr>
          <w:rFonts w:hint="eastAsia" w:ascii="宋体" w:hAnsi="宋体"/>
          <w:bCs/>
          <w:sz w:val="24"/>
          <w:szCs w:val="24"/>
          <w:highlight w:val="none"/>
        </w:rPr>
        <w:t>供应商承诺实质性响应</w:t>
      </w:r>
      <w:bookmarkEnd w:id="30"/>
      <w:r>
        <w:rPr>
          <w:rFonts w:hint="eastAsia" w:ascii="宋体" w:hAnsi="宋体"/>
          <w:bCs/>
          <w:sz w:val="24"/>
          <w:szCs w:val="24"/>
          <w:highlight w:val="none"/>
        </w:rPr>
        <w:t>招标文件的要求。</w:t>
      </w:r>
      <w:bookmarkEnd w:id="29"/>
    </w:p>
    <w:p w14:paraId="0DEBE8B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1" w:name="OLE_LINK120"/>
      <w:bookmarkStart w:id="32" w:name="OLE_LINK121"/>
      <w:r>
        <w:rPr>
          <w:rFonts w:hint="eastAsia" w:ascii="宋体" w:hAnsi="宋体"/>
          <w:sz w:val="24"/>
          <w:szCs w:val="24"/>
          <w:highlight w:val="none"/>
        </w:rPr>
        <w:t>如供应商对投标文件进行了修改，则应由供应商的法定代表人或被授权代表在每一修改处签字</w:t>
      </w:r>
      <w:bookmarkEnd w:id="31"/>
      <w:r>
        <w:rPr>
          <w:rFonts w:hint="eastAsia" w:ascii="宋体" w:hAnsi="宋体"/>
          <w:sz w:val="24"/>
          <w:szCs w:val="24"/>
          <w:highlight w:val="none"/>
        </w:rPr>
        <w:t>并加盖供应商公章。</w:t>
      </w:r>
      <w:bookmarkEnd w:id="32"/>
    </w:p>
    <w:p w14:paraId="639D432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3" w:name="OLE_LINK122"/>
      <w:r>
        <w:rPr>
          <w:rFonts w:hint="eastAsia" w:ascii="宋体" w:hAnsi="宋体"/>
          <w:bCs/>
          <w:sz w:val="24"/>
          <w:szCs w:val="24"/>
          <w:highlight w:val="none"/>
        </w:rPr>
        <w:t>注明“正本”、“副本”字样</w:t>
      </w:r>
      <w:bookmarkEnd w:id="33"/>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49AA592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7B6EB44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4" w:name="OLE_LINK123"/>
      <w:r>
        <w:rPr>
          <w:rFonts w:hint="eastAsia" w:ascii="宋体" w:hAnsi="宋体"/>
          <w:bCs/>
          <w:sz w:val="24"/>
          <w:szCs w:val="24"/>
          <w:highlight w:val="none"/>
        </w:rPr>
        <w:t>供应商须对投标文件进行密封，同时注明供应商名称。</w:t>
      </w:r>
      <w:bookmarkEnd w:id="34"/>
    </w:p>
    <w:p w14:paraId="4D1B286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30947BA3">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70EEDD21">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5" w:name="OLE_LINK45"/>
      <w:r>
        <w:rPr>
          <w:rFonts w:hint="eastAsia" w:ascii="宋体" w:hAnsi="宋体"/>
          <w:sz w:val="24"/>
          <w:szCs w:val="24"/>
          <w:highlight w:val="none"/>
        </w:rPr>
        <w:t>采购人、</w:t>
      </w:r>
      <w:bookmarkEnd w:id="35"/>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63E49C7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586C0AA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36"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36"/>
    </w:p>
    <w:p w14:paraId="1BFCBF9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0F1C5EC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6ECF2EAB">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AD062AF">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38098A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0F1E67A6">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76ECBDA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54BD629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37" w:name="OLE_LINK260"/>
      <w:r>
        <w:rPr>
          <w:rFonts w:hint="eastAsia" w:ascii="宋体" w:hAnsi="宋体"/>
          <w:b/>
          <w:sz w:val="24"/>
          <w:szCs w:val="24"/>
          <w:highlight w:val="none"/>
        </w:rPr>
        <w:t>补充、修改或者撤回</w:t>
      </w:r>
      <w:bookmarkEnd w:id="37"/>
    </w:p>
    <w:p w14:paraId="42277907">
      <w:pPr>
        <w:spacing w:line="360" w:lineRule="auto"/>
        <w:ind w:firstLine="480" w:firstLineChars="200"/>
        <w:rPr>
          <w:rFonts w:ascii="宋体" w:hAnsi="宋体"/>
          <w:bCs/>
          <w:sz w:val="24"/>
          <w:szCs w:val="24"/>
          <w:highlight w:val="none"/>
          <w:lang w:val="zh-CN"/>
        </w:rPr>
      </w:pPr>
      <w:bookmarkStart w:id="38"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2A339BE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38"/>
    </w:p>
    <w:p w14:paraId="4A91FA40">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476FE18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1CC9D18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367F1F2B">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3FA3DF74">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2C0BCC4F">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04C58F1">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7B071D97">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38577772">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30301F6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82E24A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418E6811">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63BFBF42">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347DE630">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06122C54">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2C147E05">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5835E32">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41F53BF8">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78B2E0A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39" w:name="OLE_LINK137"/>
      <w:r>
        <w:rPr>
          <w:rFonts w:hint="eastAsia" w:ascii="宋体" w:hAnsi="宋体" w:cs="宋体"/>
          <w:sz w:val="24"/>
          <w:szCs w:val="24"/>
          <w:highlight w:val="none"/>
          <w:lang w:val="zh-CN"/>
        </w:rPr>
        <w:t>（含虚假承诺）</w:t>
      </w:r>
      <w:bookmarkEnd w:id="39"/>
      <w:r>
        <w:rPr>
          <w:rFonts w:hint="eastAsia" w:ascii="宋体" w:hAnsi="宋体" w:cs="宋体"/>
          <w:sz w:val="24"/>
          <w:szCs w:val="24"/>
          <w:highlight w:val="none"/>
          <w:lang w:val="zh-CN"/>
        </w:rPr>
        <w:t>的；</w:t>
      </w:r>
    </w:p>
    <w:p w14:paraId="1F9A1C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7374A535">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45438368">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3F9C13B9">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614D5669">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2E763EA4">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14B7895D">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BC87B7C">
      <w:pPr>
        <w:spacing w:line="360" w:lineRule="auto"/>
        <w:ind w:firstLine="482" w:firstLineChars="200"/>
        <w:rPr>
          <w:rFonts w:ascii="宋体" w:hAnsi="宋体"/>
          <w:b/>
          <w:bCs/>
          <w:sz w:val="24"/>
          <w:szCs w:val="24"/>
          <w:highlight w:val="none"/>
        </w:rPr>
      </w:pPr>
      <w:bookmarkStart w:id="40" w:name="OLE_LINK96"/>
      <w:r>
        <w:rPr>
          <w:rFonts w:hint="eastAsia" w:ascii="宋体" w:hAnsi="宋体"/>
          <w:b/>
          <w:bCs/>
          <w:sz w:val="24"/>
          <w:szCs w:val="24"/>
          <w:highlight w:val="none"/>
        </w:rPr>
        <w:t>17、不接受联合体投标、不接受中标后分包。</w:t>
      </w:r>
    </w:p>
    <w:bookmarkEnd w:id="40"/>
    <w:p w14:paraId="597893F5">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71556B2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2C83B4B2">
      <w:pPr>
        <w:spacing w:line="360" w:lineRule="auto"/>
        <w:ind w:firstLine="480" w:firstLineChars="200"/>
        <w:rPr>
          <w:rFonts w:ascii="宋体" w:hAnsi="宋体"/>
          <w:bCs/>
          <w:sz w:val="24"/>
          <w:szCs w:val="24"/>
          <w:highlight w:val="none"/>
          <w:lang w:val="zh-CN"/>
        </w:rPr>
      </w:pPr>
      <w:bookmarkStart w:id="41"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2" w:name="OLE_LINK276"/>
      <w:r>
        <w:rPr>
          <w:rFonts w:hint="eastAsia" w:ascii="宋体" w:hAnsi="宋体"/>
          <w:bCs/>
          <w:sz w:val="24"/>
          <w:szCs w:val="24"/>
          <w:highlight w:val="none"/>
          <w:lang w:val="zh-CN"/>
        </w:rPr>
        <w:t>采购人按招标文件规定的时间在指定开标地点召开开标大会，邀请所有供应商代表参加。</w:t>
      </w:r>
    </w:p>
    <w:p w14:paraId="1EC3CB4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2"/>
    <w:p w14:paraId="68663BEF">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2F4DCE1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3"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3"/>
      <w:r>
        <w:rPr>
          <w:rFonts w:hint="eastAsia" w:ascii="宋体" w:hAnsi="宋体"/>
          <w:bCs/>
          <w:sz w:val="24"/>
          <w:szCs w:val="24"/>
          <w:highlight w:val="none"/>
          <w:lang w:val="zh-CN"/>
        </w:rPr>
        <w:t>供应商未参加开标的，视同认可开标结果。</w:t>
      </w:r>
    </w:p>
    <w:p w14:paraId="5D284542">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4" w:name="OLE_LINK131"/>
      <w:bookmarkStart w:id="45"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4"/>
      <w:bookmarkStart w:id="46"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5"/>
      <w:bookmarkEnd w:id="46"/>
      <w:r>
        <w:rPr>
          <w:rFonts w:hint="eastAsia" w:ascii="宋体" w:hAnsi="宋体"/>
          <w:bCs/>
          <w:sz w:val="24"/>
          <w:szCs w:val="24"/>
          <w:highlight w:val="none"/>
          <w:lang w:val="zh-CN"/>
        </w:rPr>
        <w:t>。</w:t>
      </w:r>
    </w:p>
    <w:bookmarkEnd w:id="41"/>
    <w:p w14:paraId="6B465E3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511173DA">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78E676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1CB340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C4432AA">
      <w:pPr>
        <w:spacing w:line="360" w:lineRule="auto"/>
        <w:ind w:firstLine="480" w:firstLineChars="200"/>
        <w:rPr>
          <w:rFonts w:ascii="宋体" w:hAnsi="宋体" w:cs="宋体"/>
          <w:sz w:val="24"/>
          <w:szCs w:val="24"/>
          <w:highlight w:val="none"/>
        </w:rPr>
      </w:pPr>
      <w:bookmarkStart w:id="47" w:name="OLE_LINK257"/>
      <w:bookmarkStart w:id="48"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47"/>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D1BBD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98581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E2FD4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18809C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48"/>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6EC70C81">
      <w:pPr>
        <w:spacing w:line="360" w:lineRule="auto"/>
        <w:ind w:firstLine="482" w:firstLineChars="200"/>
        <w:rPr>
          <w:rFonts w:ascii="宋体" w:hAnsi="宋体"/>
          <w:b/>
          <w:sz w:val="24"/>
          <w:szCs w:val="24"/>
          <w:highlight w:val="none"/>
        </w:rPr>
      </w:pPr>
      <w:bookmarkStart w:id="49" w:name="OLE_LINK18"/>
      <w:r>
        <w:rPr>
          <w:rFonts w:ascii="宋体" w:hAnsi="宋体"/>
          <w:b/>
          <w:sz w:val="24"/>
          <w:szCs w:val="24"/>
          <w:highlight w:val="none"/>
        </w:rPr>
        <w:t>2</w:t>
      </w:r>
      <w:r>
        <w:rPr>
          <w:rFonts w:hint="eastAsia" w:ascii="宋体" w:hAnsi="宋体"/>
          <w:b/>
          <w:sz w:val="24"/>
          <w:szCs w:val="24"/>
          <w:highlight w:val="none"/>
        </w:rPr>
        <w:t>0、评标</w:t>
      </w:r>
      <w:bookmarkEnd w:id="49"/>
    </w:p>
    <w:p w14:paraId="360983FD">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40FE8221">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4A73F08F">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0"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0"/>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3C9CBD9A">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05946401">
      <w:pPr>
        <w:tabs>
          <w:tab w:val="left" w:pos="945"/>
        </w:tabs>
        <w:spacing w:line="360" w:lineRule="auto"/>
        <w:ind w:firstLine="523" w:firstLineChars="218"/>
        <w:rPr>
          <w:rFonts w:ascii="宋体" w:hAnsi="宋体"/>
          <w:bCs/>
          <w:sz w:val="24"/>
          <w:szCs w:val="24"/>
          <w:highlight w:val="none"/>
        </w:rPr>
      </w:pPr>
      <w:bookmarkStart w:id="51"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1"/>
      <w:r>
        <w:rPr>
          <w:rFonts w:hint="eastAsia" w:ascii="宋体" w:hAnsi="宋体"/>
          <w:b/>
          <w:sz w:val="24"/>
          <w:szCs w:val="24"/>
          <w:highlight w:val="none"/>
        </w:rPr>
        <w:t>评标方法和标准</w:t>
      </w:r>
      <w:r>
        <w:rPr>
          <w:rFonts w:hint="eastAsia" w:ascii="宋体" w:hAnsi="宋体"/>
          <w:bCs/>
          <w:sz w:val="24"/>
          <w:szCs w:val="24"/>
          <w:highlight w:val="none"/>
        </w:rPr>
        <w:t>。</w:t>
      </w:r>
    </w:p>
    <w:p w14:paraId="28D0E5A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0"/>
          <w:highlight w:val="none"/>
          <w:lang w:val="en-US"/>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eastAsia="宋体" w:cs="宋体"/>
          <w:bCs/>
          <w:kern w:val="2"/>
          <w:sz w:val="24"/>
          <w:szCs w:val="20"/>
          <w:highlight w:val="none"/>
          <w:lang w:val="en-US" w:eastAsia="zh-CN" w:bidi="ar"/>
        </w:rPr>
        <w:t>本次招标采用最低评标价法。</w:t>
      </w:r>
      <w:bookmarkStart w:id="52" w:name="OLE_LINK156"/>
      <w:r>
        <w:rPr>
          <w:rFonts w:hint="eastAsia" w:ascii="宋体" w:hAnsi="宋体" w:eastAsia="宋体" w:cs="宋体"/>
          <w:bCs/>
          <w:kern w:val="2"/>
          <w:sz w:val="24"/>
          <w:szCs w:val="20"/>
          <w:highlight w:val="none"/>
          <w:lang w:val="en-US" w:eastAsia="zh-CN" w:bidi="ar"/>
        </w:rPr>
        <w:t>评标委员会在</w:t>
      </w:r>
      <w:r>
        <w:rPr>
          <w:rFonts w:hint="eastAsia" w:ascii="宋体" w:hAnsi="宋体" w:eastAsia="宋体" w:cs="宋体"/>
          <w:kern w:val="2"/>
          <w:sz w:val="24"/>
          <w:szCs w:val="24"/>
          <w:highlight w:val="none"/>
          <w:lang w:val="en-US" w:eastAsia="zh-CN" w:bidi="ar"/>
        </w:rPr>
        <w:t>投标文件满足招标文件全部实质性要求</w:t>
      </w:r>
      <w:r>
        <w:rPr>
          <w:rFonts w:hint="eastAsia" w:ascii="宋体" w:hAnsi="宋体" w:eastAsia="宋体" w:cs="宋体"/>
          <w:bCs/>
          <w:kern w:val="2"/>
          <w:sz w:val="24"/>
          <w:szCs w:val="20"/>
          <w:highlight w:val="none"/>
          <w:lang w:val="en-US" w:eastAsia="zh-CN" w:bidi="ar"/>
        </w:rPr>
        <w:t>的前提下</w:t>
      </w:r>
      <w:bookmarkEnd w:id="52"/>
      <w:r>
        <w:rPr>
          <w:rFonts w:hint="eastAsia" w:ascii="宋体" w:hAnsi="宋体" w:eastAsia="宋体" w:cs="宋体"/>
          <w:bCs/>
          <w:kern w:val="2"/>
          <w:sz w:val="24"/>
          <w:szCs w:val="20"/>
          <w:highlight w:val="none"/>
          <w:lang w:val="en-US" w:eastAsia="zh-CN" w:bidi="ar"/>
        </w:rPr>
        <w:t>，按投标报价由低到高顺序排列，推荐三名中标候选人。</w:t>
      </w:r>
    </w:p>
    <w:p w14:paraId="37984D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0"/>
          <w:highlight w:val="none"/>
          <w:lang w:val="en-US"/>
        </w:rPr>
      </w:pPr>
      <w:r>
        <w:rPr>
          <w:rFonts w:hint="eastAsia" w:ascii="宋体" w:hAnsi="宋体" w:eastAsia="宋体" w:cs="宋体"/>
          <w:bCs/>
          <w:kern w:val="2"/>
          <w:sz w:val="24"/>
          <w:szCs w:val="20"/>
          <w:highlight w:val="none"/>
          <w:lang w:val="en-US" w:eastAsia="zh-CN" w:bidi="ar"/>
        </w:rPr>
        <w:t>若投标报价相同，则进行随机抽签，按抽取号码值从大到小的顺序排列。随机抽签活动，按下列程序公开进行：</w:t>
      </w:r>
    </w:p>
    <w:p w14:paraId="53C97920">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1 \* GB3 \* MERGEFORMAT </w:instrText>
      </w:r>
      <w:r>
        <w:rPr>
          <w:rFonts w:hint="eastAsia" w:ascii="宋体" w:hAnsi="宋体" w:eastAsia="宋体" w:cs="宋体"/>
          <w:bCs/>
          <w:kern w:val="2"/>
          <w:sz w:val="24"/>
          <w:szCs w:val="24"/>
          <w:highlight w:val="none"/>
          <w:lang w:val="en-US" w:eastAsia="zh-CN" w:bidi="ar"/>
        </w:rPr>
        <w:fldChar w:fldCharType="separate"/>
      </w:r>
      <w:r>
        <w:rPr>
          <w:sz w:val="24"/>
          <w:szCs w:val="24"/>
          <w:highlight w:val="none"/>
        </w:rPr>
        <w:t>①</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根据</w:t>
      </w:r>
      <w:r>
        <w:rPr>
          <w:rFonts w:hint="eastAsia" w:ascii="宋体" w:hAnsi="宋体" w:eastAsia="宋体" w:cs="宋体"/>
          <w:kern w:val="2"/>
          <w:sz w:val="24"/>
          <w:szCs w:val="24"/>
          <w:highlight w:val="none"/>
          <w:lang w:val="zh-CN" w:eastAsia="zh-CN" w:bidi="ar"/>
        </w:rPr>
        <w:t>投标报价</w:t>
      </w:r>
      <w:r>
        <w:rPr>
          <w:rFonts w:hint="eastAsia" w:ascii="宋体" w:hAnsi="宋体" w:eastAsia="宋体" w:cs="宋体"/>
          <w:bCs/>
          <w:kern w:val="2"/>
          <w:sz w:val="24"/>
          <w:szCs w:val="22"/>
          <w:highlight w:val="none"/>
          <w:lang w:val="en-US" w:eastAsia="zh-CN" w:bidi="ar"/>
        </w:rPr>
        <w:t>相同的供应商数量，向抽取箱内放入三倍数量以上的号码球；</w:t>
      </w:r>
    </w:p>
    <w:p w14:paraId="46312BC1">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kern w:val="2"/>
          <w:sz w:val="24"/>
          <w:szCs w:val="22"/>
          <w:highlight w:val="none"/>
          <w:lang w:val="en-US" w:eastAsia="zh-CN" w:bidi="ar"/>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2 \* GB3 \* MERGEFORMAT </w:instrText>
      </w:r>
      <w:r>
        <w:rPr>
          <w:rFonts w:hint="eastAsia" w:ascii="宋体" w:hAnsi="宋体" w:eastAsia="宋体" w:cs="宋体"/>
          <w:bCs/>
          <w:kern w:val="2"/>
          <w:sz w:val="24"/>
          <w:szCs w:val="24"/>
          <w:highlight w:val="none"/>
          <w:lang w:val="en-US" w:eastAsia="zh-CN" w:bidi="ar"/>
        </w:rPr>
        <w:fldChar w:fldCharType="separate"/>
      </w:r>
      <w:r>
        <w:rPr>
          <w:rFonts w:hint="eastAsia" w:ascii="宋体" w:hAnsi="宋体" w:eastAsia="宋体" w:cs="宋体"/>
          <w:bCs/>
          <w:kern w:val="2"/>
          <w:sz w:val="24"/>
          <w:szCs w:val="24"/>
          <w:highlight w:val="none"/>
          <w:lang w:val="en-US" w:eastAsia="zh-CN" w:bidi="ar"/>
        </w:rPr>
        <w:t>②</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按照投标人现场签到的先后顺序，由投标人代表（法定代表人或被授权代表）公开抽</w:t>
      </w:r>
    </w:p>
    <w:p w14:paraId="5FF58906">
      <w:pPr>
        <w:keepNext w:val="0"/>
        <w:keepLines w:val="0"/>
        <w:widowControl w:val="0"/>
        <w:numPr>
          <w:ilvl w:val="0"/>
          <w:numId w:val="0"/>
        </w:numPr>
        <w:suppressLineNumbers w:val="0"/>
        <w:tabs>
          <w:tab w:val="left" w:pos="945"/>
        </w:tabs>
        <w:spacing w:before="0" w:beforeAutospacing="0" w:after="0" w:afterAutospacing="0" w:line="360" w:lineRule="auto"/>
        <w:ind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2"/>
          <w:highlight w:val="none"/>
          <w:lang w:val="en-US" w:eastAsia="zh-CN" w:bidi="ar"/>
        </w:rPr>
        <w:t>取一个号码球，当场公布抽取的号码并在记录表上签字确认。确认后，仍将号码球放入抽取箱内，由下一个投标人代表抽取号码球，直至所有投标人抽取完毕；</w:t>
      </w:r>
    </w:p>
    <w:p w14:paraId="443094EB">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kern w:val="2"/>
          <w:sz w:val="24"/>
          <w:szCs w:val="22"/>
          <w:highlight w:val="none"/>
          <w:lang w:val="en-US" w:eastAsia="zh-CN" w:bidi="ar"/>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3 \* GB3 \* MERGEFORMAT </w:instrText>
      </w:r>
      <w:r>
        <w:rPr>
          <w:rFonts w:hint="eastAsia" w:ascii="宋体" w:hAnsi="宋体" w:eastAsia="宋体" w:cs="宋体"/>
          <w:bCs/>
          <w:kern w:val="2"/>
          <w:sz w:val="24"/>
          <w:szCs w:val="24"/>
          <w:highlight w:val="none"/>
          <w:lang w:val="en-US" w:eastAsia="zh-CN" w:bidi="ar"/>
        </w:rPr>
        <w:fldChar w:fldCharType="separate"/>
      </w:r>
      <w:r>
        <w:rPr>
          <w:rFonts w:hint="eastAsia" w:ascii="宋体" w:hAnsi="宋体" w:eastAsia="宋体" w:cs="宋体"/>
          <w:bCs/>
          <w:kern w:val="2"/>
          <w:sz w:val="24"/>
          <w:szCs w:val="24"/>
          <w:highlight w:val="none"/>
          <w:lang w:val="en-US" w:eastAsia="zh-CN" w:bidi="ar"/>
        </w:rPr>
        <w:t>③</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如抽签确定的号码值出现相同的情况，则有相同号码值的投标人代表进行第二轮抽取，</w:t>
      </w:r>
    </w:p>
    <w:p w14:paraId="5AC92E73">
      <w:pPr>
        <w:keepNext w:val="0"/>
        <w:keepLines w:val="0"/>
        <w:widowControl w:val="0"/>
        <w:numPr>
          <w:ilvl w:val="0"/>
          <w:numId w:val="0"/>
        </w:numPr>
        <w:suppressLineNumbers w:val="0"/>
        <w:tabs>
          <w:tab w:val="left" w:pos="945"/>
        </w:tabs>
        <w:spacing w:before="0" w:beforeAutospacing="0" w:after="0" w:afterAutospacing="0" w:line="360" w:lineRule="auto"/>
        <w:ind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2"/>
          <w:highlight w:val="none"/>
          <w:lang w:val="en-US" w:eastAsia="zh-CN" w:bidi="ar"/>
        </w:rPr>
        <w:t>从大到小排序。以此类推，直至确定相同号码值投标人的排序。</w:t>
      </w:r>
    </w:p>
    <w:p w14:paraId="688A401B">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CF5B887">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3" w:name="OLE_LINK201"/>
      <w:r>
        <w:rPr>
          <w:rFonts w:hint="eastAsia" w:ascii="宋体" w:hAnsi="宋体" w:cs="宋体"/>
          <w:sz w:val="24"/>
          <w:szCs w:val="24"/>
          <w:highlight w:val="none"/>
        </w:rPr>
        <w:t>（</w:t>
      </w:r>
      <w:bookmarkStart w:id="54"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4"/>
      <w:r>
        <w:rPr>
          <w:rFonts w:hint="eastAsia" w:ascii="宋体" w:hAnsi="宋体" w:cs="宋体"/>
          <w:sz w:val="24"/>
          <w:szCs w:val="24"/>
          <w:highlight w:val="none"/>
        </w:rPr>
        <w:t>）</w:t>
      </w:r>
      <w:bookmarkEnd w:id="53"/>
      <w:r>
        <w:rPr>
          <w:rFonts w:hint="eastAsia" w:ascii="宋体" w:hAnsi="宋体" w:cs="宋体"/>
          <w:sz w:val="24"/>
          <w:szCs w:val="24"/>
          <w:highlight w:val="none"/>
        </w:rPr>
        <w:t>外，不对供应商的投标价格进行任何调整。</w:t>
      </w:r>
    </w:p>
    <w:p w14:paraId="1AE4047E">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5" w:name="OLE_LINK245"/>
      <w:r>
        <w:rPr>
          <w:rFonts w:hint="eastAsia" w:ascii="宋体" w:hAnsi="宋体"/>
          <w:bCs/>
          <w:sz w:val="24"/>
          <w:szCs w:val="24"/>
          <w:highlight w:val="none"/>
        </w:rPr>
        <w:t>投标文件报价出现前后不一致的，除招标文件另有规定外，按照下列规定修正：</w:t>
      </w:r>
    </w:p>
    <w:p w14:paraId="108F2A17">
      <w:pPr>
        <w:tabs>
          <w:tab w:val="left" w:pos="945"/>
        </w:tabs>
        <w:spacing w:line="360" w:lineRule="auto"/>
        <w:ind w:left="559" w:leftChars="266"/>
        <w:rPr>
          <w:rFonts w:ascii="宋体" w:hAnsi="宋体"/>
          <w:bCs/>
          <w:sz w:val="24"/>
          <w:szCs w:val="24"/>
          <w:highlight w:val="none"/>
        </w:rPr>
      </w:pPr>
      <w:r>
        <w:rPr>
          <w:rFonts w:hint="eastAsia" w:ascii="宋体" w:hAnsi="宋体"/>
          <w:bCs/>
          <w:sz w:val="28"/>
          <w:szCs w:val="28"/>
          <w:highlight w:val="none"/>
        </w:rPr>
        <w:fldChar w:fldCharType="begin"/>
      </w:r>
      <w:r>
        <w:rPr>
          <w:rFonts w:hint="eastAsia" w:ascii="宋体" w:hAnsi="宋体"/>
          <w:bCs/>
          <w:sz w:val="28"/>
          <w:szCs w:val="28"/>
          <w:highlight w:val="none"/>
        </w:rPr>
        <w:instrText xml:space="preserve"> = 1 \* GB3 \* MERGEFORMAT </w:instrText>
      </w:r>
      <w:r>
        <w:rPr>
          <w:rFonts w:hint="eastAsia" w:ascii="宋体" w:hAnsi="宋体"/>
          <w:bCs/>
          <w:sz w:val="28"/>
          <w:szCs w:val="28"/>
          <w:highlight w:val="none"/>
        </w:rPr>
        <w:fldChar w:fldCharType="separate"/>
      </w:r>
      <w:r>
        <w:rPr>
          <w:sz w:val="22"/>
          <w:szCs w:val="21"/>
          <w:highlight w:val="none"/>
        </w:rPr>
        <w:t>①</w:t>
      </w:r>
      <w:r>
        <w:rPr>
          <w:rFonts w:hint="eastAsia" w:ascii="宋体" w:hAnsi="宋体"/>
          <w:bCs/>
          <w:sz w:val="28"/>
          <w:szCs w:val="28"/>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44D3DA3C">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611FF968">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F9E5841">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6267A593">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5"/>
      <w:bookmarkStart w:id="56" w:name="OLE_LINK135"/>
    </w:p>
    <w:bookmarkEnd w:id="56"/>
    <w:p w14:paraId="13142FC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09413FB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83F050A">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4A56F8F">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655CCC3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3B080FDE">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73656AE">
      <w:pPr>
        <w:numPr>
          <w:ilvl w:val="0"/>
          <w:numId w:val="8"/>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36BBF676">
      <w:pPr>
        <w:numPr>
          <w:ilvl w:val="0"/>
          <w:numId w:val="8"/>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72543F9F">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7043FF46">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7DAA6848">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464D4DD5">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24087819">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605265C0">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0DF8E51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75A191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03D47E6D">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897723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18E6000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CB0DF62">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13FA3D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6F1876DE">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72769B46">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4E112F2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5011948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4B186C3">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8F995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7B73A6D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38D162B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0305102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44A970CA">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6EDB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CAA9610">
            <w:pPr>
              <w:keepNext w:val="0"/>
              <w:keepLines w:val="0"/>
              <w:suppressLineNumbers w:val="0"/>
              <w:spacing w:before="0" w:beforeAutospacing="0" w:after="0" w:afterAutospacing="0"/>
              <w:ind w:left="0" w:right="0"/>
              <w:contextualSpacing/>
              <w:jc w:val="center"/>
              <w:rPr>
                <w:rFonts w:hint="default" w:ascii="宋体" w:hAnsi="宋体"/>
                <w:bCs/>
                <w:sz w:val="24"/>
                <w:szCs w:val="24"/>
                <w:highlight w:val="none"/>
                <w:lang w:val="zh-CN"/>
              </w:rPr>
            </w:pPr>
            <w:bookmarkStart w:id="57" w:name="OLE_LINK136"/>
            <w:r>
              <w:rPr>
                <w:rFonts w:hint="eastAsia" w:ascii="宋体" w:hAnsi="宋体"/>
                <w:sz w:val="24"/>
                <w:szCs w:val="24"/>
                <w:highlight w:val="none"/>
              </w:rPr>
              <w:t>交纳履约保证金账户名称</w:t>
            </w:r>
          </w:p>
        </w:tc>
        <w:tc>
          <w:tcPr>
            <w:tcW w:w="3943" w:type="dxa"/>
            <w:vAlign w:val="center"/>
          </w:tcPr>
          <w:p w14:paraId="6E0AFAD7">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highlight w:val="none"/>
                <w:lang w:val="zh-CN"/>
              </w:rPr>
            </w:pPr>
            <w:r>
              <w:rPr>
                <w:rFonts w:hint="eastAsia" w:ascii="宋体" w:hAnsi="宋体"/>
                <w:sz w:val="24"/>
                <w:szCs w:val="24"/>
                <w:highlight w:val="none"/>
                <w:lang w:val="zh-CN"/>
              </w:rPr>
              <w:t>江苏宜公投蓝藻资源开发有限公司</w:t>
            </w:r>
          </w:p>
        </w:tc>
        <w:tc>
          <w:tcPr>
            <w:tcW w:w="750" w:type="dxa"/>
            <w:vMerge w:val="restart"/>
            <w:vAlign w:val="center"/>
          </w:tcPr>
          <w:p w14:paraId="41B515DD">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交纳</w:t>
            </w:r>
          </w:p>
          <w:p w14:paraId="390A15E1">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5E201EC4">
            <w:pPr>
              <w:keepNext w:val="0"/>
              <w:keepLines w:val="0"/>
              <w:suppressLineNumbers w:val="0"/>
              <w:spacing w:before="0" w:beforeAutospacing="0" w:after="0" w:afterAutospacing="0"/>
              <w:ind w:left="0" w:right="0"/>
              <w:contextualSpacing/>
              <w:jc w:val="center"/>
              <w:rPr>
                <w:rFonts w:hint="default" w:ascii="宋体" w:hAnsi="宋体"/>
                <w:bCs/>
                <w:sz w:val="24"/>
                <w:szCs w:val="24"/>
                <w:highlight w:val="none"/>
                <w:lang w:val="zh-CN"/>
              </w:rPr>
            </w:pPr>
            <w:bookmarkStart w:id="58" w:name="OLE_LINK2"/>
            <w:bookmarkStart w:id="59" w:name="OLE_LINK1"/>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58"/>
            <w:bookmarkEnd w:id="59"/>
          </w:p>
        </w:tc>
      </w:tr>
      <w:tr w14:paraId="0A19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3E3D9D46">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vAlign w:val="center"/>
          </w:tcPr>
          <w:p w14:paraId="7A8903A7">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highlight w:val="none"/>
                <w:lang w:val="zh-CN"/>
              </w:rPr>
            </w:pPr>
            <w:r>
              <w:rPr>
                <w:rFonts w:hint="eastAsia" w:ascii="宋体" w:hAnsi="宋体"/>
                <w:sz w:val="24"/>
                <w:szCs w:val="24"/>
                <w:highlight w:val="none"/>
                <w:lang w:val="zh-CN"/>
              </w:rPr>
              <w:t>中国银行宜兴周铁支行</w:t>
            </w:r>
          </w:p>
        </w:tc>
        <w:tc>
          <w:tcPr>
            <w:tcW w:w="750" w:type="dxa"/>
            <w:vMerge w:val="continue"/>
            <w:vAlign w:val="center"/>
          </w:tcPr>
          <w:p w14:paraId="6BE1AF10">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c>
          <w:tcPr>
            <w:tcW w:w="2409" w:type="dxa"/>
            <w:vMerge w:val="continue"/>
            <w:vAlign w:val="center"/>
          </w:tcPr>
          <w:p w14:paraId="4C964D98">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r>
      <w:tr w14:paraId="3A2E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2415F365">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账号</w:t>
            </w:r>
          </w:p>
        </w:tc>
        <w:tc>
          <w:tcPr>
            <w:tcW w:w="3943" w:type="dxa"/>
            <w:vAlign w:val="center"/>
          </w:tcPr>
          <w:p w14:paraId="23D4EE7B">
            <w:pPr>
              <w:pStyle w:val="13"/>
              <w:keepNext w:val="0"/>
              <w:keepLines w:val="0"/>
              <w:suppressLineNumbers w:val="0"/>
              <w:spacing w:before="0" w:beforeAutospacing="0" w:after="0" w:afterAutospacing="0"/>
              <w:ind w:left="0" w:right="0"/>
              <w:jc w:val="center"/>
              <w:rPr>
                <w:rFonts w:hint="default" w:ascii="宋体" w:hAnsi="宋体"/>
                <w:kern w:val="2"/>
                <w:sz w:val="24"/>
                <w:szCs w:val="24"/>
                <w:highlight w:val="none"/>
                <w:lang w:val="zh-CN"/>
              </w:rPr>
            </w:pPr>
            <w:r>
              <w:rPr>
                <w:rFonts w:hint="eastAsia" w:ascii="宋体" w:hAnsi="宋体"/>
                <w:kern w:val="2"/>
                <w:sz w:val="24"/>
                <w:szCs w:val="24"/>
                <w:highlight w:val="none"/>
                <w:lang w:val="zh-CN"/>
              </w:rPr>
              <w:t>519674450517</w:t>
            </w:r>
          </w:p>
        </w:tc>
        <w:tc>
          <w:tcPr>
            <w:tcW w:w="750" w:type="dxa"/>
            <w:vMerge w:val="continue"/>
            <w:vAlign w:val="center"/>
          </w:tcPr>
          <w:p w14:paraId="539BEF20">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c>
          <w:tcPr>
            <w:tcW w:w="2409" w:type="dxa"/>
            <w:vMerge w:val="continue"/>
            <w:vAlign w:val="center"/>
          </w:tcPr>
          <w:p w14:paraId="3D6D0E2B">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r>
      <w:bookmarkEnd w:id="57"/>
    </w:tbl>
    <w:p w14:paraId="64A50694">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69259D33">
      <w:pPr>
        <w:spacing w:line="360" w:lineRule="auto"/>
        <w:ind w:firstLine="480" w:firstLineChars="200"/>
        <w:rPr>
          <w:rFonts w:ascii="宋体" w:hAnsi="宋体"/>
          <w:bCs/>
          <w:sz w:val="24"/>
          <w:szCs w:val="24"/>
          <w:highlight w:val="none"/>
          <w:lang w:val="zh-CN"/>
        </w:rPr>
      </w:pPr>
      <w:bookmarkStart w:id="60"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50BD8F59">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7790DE51">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432304D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1986431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7BD1E10">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5387E0D4">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5143B0B5">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0ABC1E85">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7BA6BB74">
      <w:pPr>
        <w:numPr>
          <w:ilvl w:val="0"/>
          <w:numId w:val="10"/>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6CC8EC37">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7505C8B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29F37AD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685444A6">
      <w:pPr>
        <w:spacing w:line="360" w:lineRule="auto"/>
        <w:ind w:firstLine="480" w:firstLineChars="200"/>
        <w:rPr>
          <w:rFonts w:ascii="宋体" w:hAnsi="宋体"/>
          <w:bCs/>
          <w:sz w:val="24"/>
          <w:szCs w:val="24"/>
          <w:highlight w:val="none"/>
        </w:rPr>
      </w:pPr>
      <w:bookmarkStart w:id="61" w:name="OLE_LINK100"/>
      <w:r>
        <w:rPr>
          <w:rFonts w:hint="eastAsia" w:ascii="宋体" w:hAnsi="宋体"/>
          <w:bCs/>
          <w:sz w:val="24"/>
          <w:szCs w:val="24"/>
          <w:highlight w:val="none"/>
        </w:rPr>
        <w:t>28、询问</w:t>
      </w:r>
    </w:p>
    <w:p w14:paraId="6619032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7F6EBAD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3ECDF7F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5A7CD029">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62" w:name="OLE_LINK44"/>
      <w:r>
        <w:rPr>
          <w:rFonts w:hint="eastAsia" w:ascii="宋体" w:hAnsi="宋体"/>
          <w:b/>
          <w:sz w:val="24"/>
          <w:szCs w:val="24"/>
          <w:highlight w:val="none"/>
          <w:lang w:val="zh-CN"/>
        </w:rPr>
        <w:t>质疑答复责任主体：</w:t>
      </w:r>
    </w:p>
    <w:p w14:paraId="14446EE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65E8BAF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2"/>
    </w:p>
    <w:p w14:paraId="0C8680B2">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63"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3"/>
    </w:p>
    <w:p w14:paraId="7E0E34E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2AA326E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4" w:name="OLE_LINK142"/>
    </w:p>
    <w:p w14:paraId="5A5E6E5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5AABA6A9">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61"/>
      <w:bookmarkEnd w:id="64"/>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BC393AC">
      <w:pPr>
        <w:pStyle w:val="14"/>
        <w:spacing w:line="360" w:lineRule="auto"/>
        <w:rPr>
          <w:rFonts w:ascii="宋体" w:hAnsi="宋体"/>
          <w:sz w:val="24"/>
          <w:szCs w:val="24"/>
          <w:highlight w:val="none"/>
        </w:rPr>
      </w:pPr>
    </w:p>
    <w:p w14:paraId="25012071">
      <w:pPr>
        <w:pStyle w:val="14"/>
        <w:rPr>
          <w:highlight w:val="none"/>
        </w:rPr>
      </w:pPr>
    </w:p>
    <w:p w14:paraId="379BC06D">
      <w:pPr>
        <w:pStyle w:val="14"/>
        <w:rPr>
          <w:highlight w:val="none"/>
        </w:rPr>
      </w:pPr>
    </w:p>
    <w:p w14:paraId="2724DC48">
      <w:pPr>
        <w:pStyle w:val="14"/>
        <w:rPr>
          <w:highlight w:val="none"/>
        </w:rPr>
      </w:pPr>
    </w:p>
    <w:p w14:paraId="03B1BA2A">
      <w:pPr>
        <w:pStyle w:val="14"/>
        <w:rPr>
          <w:highlight w:val="none"/>
        </w:rPr>
      </w:pPr>
    </w:p>
    <w:p w14:paraId="6B619089">
      <w:pPr>
        <w:pStyle w:val="14"/>
        <w:rPr>
          <w:highlight w:val="none"/>
        </w:rPr>
      </w:pPr>
    </w:p>
    <w:p w14:paraId="69838E1C">
      <w:pPr>
        <w:pStyle w:val="14"/>
        <w:rPr>
          <w:highlight w:val="none"/>
        </w:rPr>
      </w:pPr>
    </w:p>
    <w:p w14:paraId="53816599">
      <w:pPr>
        <w:pStyle w:val="14"/>
        <w:rPr>
          <w:highlight w:val="none"/>
        </w:rPr>
      </w:pPr>
    </w:p>
    <w:p w14:paraId="67766802">
      <w:pPr>
        <w:pStyle w:val="14"/>
        <w:rPr>
          <w:highlight w:val="none"/>
        </w:rPr>
      </w:pPr>
    </w:p>
    <w:p w14:paraId="4F50464D">
      <w:pPr>
        <w:pStyle w:val="14"/>
        <w:rPr>
          <w:highlight w:val="none"/>
        </w:rPr>
      </w:pPr>
    </w:p>
    <w:p w14:paraId="3EF48B35">
      <w:pPr>
        <w:pStyle w:val="14"/>
        <w:rPr>
          <w:highlight w:val="none"/>
        </w:rPr>
      </w:pPr>
    </w:p>
    <w:p w14:paraId="14E8DF74">
      <w:pPr>
        <w:pStyle w:val="14"/>
        <w:rPr>
          <w:highlight w:val="none"/>
        </w:rPr>
      </w:pPr>
    </w:p>
    <w:p w14:paraId="34F3BA3D">
      <w:pPr>
        <w:pStyle w:val="14"/>
        <w:rPr>
          <w:highlight w:val="none"/>
        </w:rPr>
      </w:pPr>
    </w:p>
    <w:p w14:paraId="54C9CA79">
      <w:pPr>
        <w:pStyle w:val="14"/>
        <w:rPr>
          <w:highlight w:val="none"/>
        </w:rPr>
      </w:pPr>
    </w:p>
    <w:p w14:paraId="5E2003DF">
      <w:pPr>
        <w:pStyle w:val="14"/>
        <w:rPr>
          <w:highlight w:val="none"/>
        </w:rPr>
      </w:pPr>
    </w:p>
    <w:p w14:paraId="48BCEA89">
      <w:pPr>
        <w:pStyle w:val="14"/>
        <w:rPr>
          <w:highlight w:val="none"/>
        </w:rPr>
      </w:pPr>
    </w:p>
    <w:p w14:paraId="74E7B487">
      <w:pPr>
        <w:pStyle w:val="14"/>
        <w:rPr>
          <w:highlight w:val="none"/>
        </w:rPr>
      </w:pPr>
    </w:p>
    <w:p w14:paraId="2E418FA9">
      <w:pPr>
        <w:pStyle w:val="14"/>
        <w:rPr>
          <w:highlight w:val="none"/>
        </w:rPr>
      </w:pPr>
    </w:p>
    <w:p w14:paraId="339E2D79">
      <w:pPr>
        <w:pStyle w:val="14"/>
        <w:rPr>
          <w:highlight w:val="none"/>
        </w:rPr>
      </w:pPr>
    </w:p>
    <w:p w14:paraId="637BC854">
      <w:pPr>
        <w:pStyle w:val="14"/>
        <w:rPr>
          <w:highlight w:val="none"/>
        </w:rPr>
      </w:pPr>
    </w:p>
    <w:p w14:paraId="0FF698F8">
      <w:pPr>
        <w:pStyle w:val="14"/>
        <w:rPr>
          <w:highlight w:val="none"/>
        </w:rPr>
      </w:pPr>
    </w:p>
    <w:p w14:paraId="0B131633">
      <w:pPr>
        <w:pStyle w:val="14"/>
        <w:rPr>
          <w:highlight w:val="none"/>
        </w:rPr>
      </w:pPr>
    </w:p>
    <w:p w14:paraId="364AA2E8">
      <w:pPr>
        <w:pStyle w:val="14"/>
        <w:rPr>
          <w:highlight w:val="none"/>
        </w:rPr>
      </w:pPr>
    </w:p>
    <w:p w14:paraId="4B44D01B">
      <w:pPr>
        <w:pStyle w:val="14"/>
        <w:rPr>
          <w:highlight w:val="none"/>
        </w:rPr>
      </w:pPr>
    </w:p>
    <w:p w14:paraId="3FD48331">
      <w:pPr>
        <w:pStyle w:val="14"/>
        <w:rPr>
          <w:highlight w:val="none"/>
        </w:rPr>
      </w:pPr>
    </w:p>
    <w:p w14:paraId="07AB7310">
      <w:pPr>
        <w:pStyle w:val="14"/>
        <w:rPr>
          <w:highlight w:val="none"/>
        </w:rPr>
      </w:pPr>
    </w:p>
    <w:p w14:paraId="54D58F8C">
      <w:pPr>
        <w:pStyle w:val="14"/>
        <w:rPr>
          <w:highlight w:val="none"/>
        </w:rPr>
      </w:pPr>
    </w:p>
    <w:p w14:paraId="44385593">
      <w:pPr>
        <w:pStyle w:val="14"/>
        <w:rPr>
          <w:highlight w:val="none"/>
        </w:rPr>
      </w:pPr>
    </w:p>
    <w:p w14:paraId="1C983745">
      <w:pPr>
        <w:pStyle w:val="14"/>
        <w:rPr>
          <w:highlight w:val="none"/>
        </w:rPr>
      </w:pPr>
    </w:p>
    <w:p w14:paraId="721268DD">
      <w:pPr>
        <w:pStyle w:val="14"/>
        <w:rPr>
          <w:highlight w:val="none"/>
        </w:rPr>
      </w:pPr>
    </w:p>
    <w:p w14:paraId="105D78A5">
      <w:pPr>
        <w:pStyle w:val="14"/>
        <w:rPr>
          <w:highlight w:val="none"/>
        </w:rPr>
      </w:pPr>
    </w:p>
    <w:p w14:paraId="0D51D596">
      <w:pPr>
        <w:pStyle w:val="14"/>
        <w:rPr>
          <w:highlight w:val="none"/>
        </w:rPr>
      </w:pPr>
    </w:p>
    <w:p w14:paraId="7B0F57E8">
      <w:pPr>
        <w:pStyle w:val="14"/>
        <w:rPr>
          <w:highlight w:val="none"/>
        </w:rPr>
      </w:pPr>
    </w:p>
    <w:p w14:paraId="76337910">
      <w:pPr>
        <w:pStyle w:val="14"/>
        <w:rPr>
          <w:highlight w:val="none"/>
        </w:rPr>
      </w:pPr>
    </w:p>
    <w:p w14:paraId="53834FE6">
      <w:pPr>
        <w:pStyle w:val="14"/>
        <w:rPr>
          <w:highlight w:val="none"/>
        </w:rPr>
      </w:pPr>
    </w:p>
    <w:p w14:paraId="4ED8940C">
      <w:pPr>
        <w:pStyle w:val="14"/>
        <w:rPr>
          <w:highlight w:val="none"/>
        </w:rPr>
      </w:pPr>
    </w:p>
    <w:p w14:paraId="24D2D72F">
      <w:pPr>
        <w:pStyle w:val="14"/>
        <w:rPr>
          <w:highlight w:val="none"/>
        </w:rPr>
      </w:pPr>
    </w:p>
    <w:p w14:paraId="126173B0">
      <w:pPr>
        <w:spacing w:line="360" w:lineRule="auto"/>
        <w:jc w:val="center"/>
        <w:outlineLvl w:val="0"/>
        <w:rPr>
          <w:rFonts w:ascii="宋体" w:hAnsi="宋体"/>
          <w:b/>
          <w:sz w:val="24"/>
          <w:szCs w:val="24"/>
          <w:highlight w:val="none"/>
        </w:rPr>
      </w:pPr>
      <w:bookmarkStart w:id="65" w:name="_Toc109650246"/>
      <w:bookmarkStart w:id="66" w:name="_Toc109652602"/>
      <w:bookmarkStart w:id="67" w:name="_Toc167975512"/>
      <w:bookmarkStart w:id="68" w:name="_Toc109652650"/>
      <w:r>
        <w:rPr>
          <w:rFonts w:hint="eastAsia" w:ascii="宋体" w:hAnsi="宋体"/>
          <w:b/>
          <w:sz w:val="24"/>
          <w:szCs w:val="24"/>
          <w:highlight w:val="none"/>
        </w:rPr>
        <w:t>第三章</w:t>
      </w:r>
      <w:r>
        <w:rPr>
          <w:rFonts w:ascii="宋体" w:hAnsi="宋体"/>
          <w:b/>
          <w:sz w:val="24"/>
          <w:szCs w:val="24"/>
          <w:highlight w:val="none"/>
        </w:rPr>
        <w:t xml:space="preserve"> </w:t>
      </w:r>
      <w:bookmarkEnd w:id="65"/>
      <w:bookmarkEnd w:id="66"/>
      <w:bookmarkEnd w:id="67"/>
      <w:bookmarkEnd w:id="68"/>
      <w:r>
        <w:rPr>
          <w:rFonts w:hint="eastAsia" w:ascii="宋体" w:hAnsi="宋体"/>
          <w:b/>
          <w:sz w:val="24"/>
          <w:szCs w:val="24"/>
          <w:highlight w:val="none"/>
        </w:rPr>
        <w:t>项目技术要求和有关说明</w:t>
      </w:r>
    </w:p>
    <w:bookmarkEnd w:id="60"/>
    <w:p w14:paraId="18E1961A">
      <w:pPr>
        <w:pStyle w:val="178"/>
        <w:keepNext w:val="0"/>
        <w:keepLines w:val="0"/>
        <w:pageBreakBefore w:val="0"/>
        <w:widowControl w:val="0"/>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rPr>
      </w:pPr>
      <w:bookmarkStart w:id="69" w:name="_Toc109652605"/>
      <w:bookmarkStart w:id="70" w:name="_Toc23355"/>
      <w:bookmarkStart w:id="71" w:name="_Toc109652653"/>
      <w:bookmarkStart w:id="72" w:name="_Toc109650249"/>
      <w:bookmarkStart w:id="73" w:name="_Toc167975513"/>
      <w:r>
        <w:rPr>
          <w:rFonts w:hint="eastAsia" w:asciiTheme="minorEastAsia" w:hAnsiTheme="minorEastAsia" w:eastAsiaTheme="minorEastAsia"/>
          <w:bCs/>
          <w:sz w:val="24"/>
          <w:szCs w:val="24"/>
          <w:highlight w:val="none"/>
        </w:rPr>
        <w:t>一</w:t>
      </w:r>
      <w:r>
        <w:rPr>
          <w:rFonts w:hint="eastAsia" w:asciiTheme="majorEastAsia" w:hAnsiTheme="majorEastAsia" w:eastAsiaTheme="majorEastAsia" w:cstheme="majorEastAsia"/>
          <w:bCs/>
          <w:sz w:val="24"/>
          <w:szCs w:val="24"/>
          <w:highlight w:val="none"/>
        </w:rPr>
        <w:t>、项目名称:</w:t>
      </w:r>
    </w:p>
    <w:p w14:paraId="6082D845">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太湖内源污染治理（太湖西岸宜兴近岸区域）2025-2026年度工程固化土及余水第三方检测服务</w:t>
      </w:r>
    </w:p>
    <w:p w14:paraId="039F8AF3">
      <w:pPr>
        <w:pStyle w:val="178"/>
        <w:keepNext w:val="0"/>
        <w:keepLines w:val="0"/>
        <w:pageBreakBefore w:val="0"/>
        <w:widowControl w:val="0"/>
        <w:numPr>
          <w:ilvl w:val="0"/>
          <w:numId w:val="12"/>
        </w:numPr>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项目概况</w:t>
      </w:r>
    </w:p>
    <w:p w14:paraId="01F36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1、实施范围</w:t>
      </w:r>
    </w:p>
    <w:p w14:paraId="5D71B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本项目实施范围为</w:t>
      </w:r>
      <w:r>
        <w:rPr>
          <w:rFonts w:hint="eastAsia" w:asciiTheme="majorEastAsia" w:hAnsiTheme="majorEastAsia" w:eastAsiaTheme="majorEastAsia" w:cstheme="majorEastAsia"/>
          <w:kern w:val="2"/>
          <w:sz w:val="24"/>
          <w:szCs w:val="32"/>
          <w:highlight w:val="none"/>
          <w:lang w:val="en-US" w:eastAsia="zh-CN" w:bidi="ar"/>
        </w:rPr>
        <w:t>太湖西岸宜兴近岸区域</w:t>
      </w:r>
    </w:p>
    <w:p w14:paraId="728AD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2、实施内容</w:t>
      </w:r>
    </w:p>
    <w:p w14:paraId="54647655">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val="en-US" w:eastAsia="zh-CN"/>
        </w:rPr>
        <w:t>根据江苏宜公投蓝藻资源开发有限公司相关要求，对</w:t>
      </w: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w:t>
      </w:r>
      <w:r>
        <w:rPr>
          <w:rFonts w:hint="eastAsia" w:asciiTheme="majorEastAsia" w:hAnsiTheme="majorEastAsia" w:eastAsiaTheme="majorEastAsia" w:cstheme="majorEastAsia"/>
          <w:b w:val="0"/>
          <w:bCs w:val="0"/>
          <w:sz w:val="24"/>
          <w:szCs w:val="24"/>
          <w:highlight w:val="none"/>
          <w:lang w:val="en-US" w:eastAsia="zh-CN"/>
        </w:rPr>
        <w:t>进行</w:t>
      </w:r>
      <w:r>
        <w:rPr>
          <w:rFonts w:hint="eastAsia" w:asciiTheme="majorEastAsia" w:hAnsiTheme="majorEastAsia" w:eastAsiaTheme="majorEastAsia" w:cstheme="majorEastAsia"/>
          <w:b w:val="0"/>
          <w:bCs w:val="0"/>
          <w:sz w:val="24"/>
          <w:szCs w:val="24"/>
          <w:highlight w:val="none"/>
        </w:rPr>
        <w:t>第三方检测服务</w:t>
      </w:r>
      <w:r>
        <w:rPr>
          <w:rFonts w:hint="eastAsia" w:asciiTheme="majorEastAsia" w:hAnsiTheme="majorEastAsia" w:eastAsiaTheme="majorEastAsia" w:cstheme="majorEastAsia"/>
          <w:b w:val="0"/>
          <w:bCs w:val="0"/>
          <w:sz w:val="24"/>
          <w:szCs w:val="24"/>
          <w:highlight w:val="none"/>
          <w:lang w:eastAsia="zh-CN"/>
        </w:rPr>
        <w:t>。</w:t>
      </w:r>
    </w:p>
    <w:p w14:paraId="314660B6">
      <w:pPr>
        <w:pStyle w:val="178"/>
        <w:keepNext w:val="0"/>
        <w:keepLines w:val="0"/>
        <w:pageBreakBefore w:val="0"/>
        <w:widowControl w:val="0"/>
        <w:numPr>
          <w:ilvl w:val="0"/>
          <w:numId w:val="12"/>
        </w:numPr>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 xml:space="preserve">检测原则  </w:t>
      </w:r>
    </w:p>
    <w:p w14:paraId="245DBDDD">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合规性:所有检测工作必须严格遵守国家、江苏省及无锡市、宜兴市现行有效的生态环境保护、水利工程质量管理、农业面源污染控制等相关法律法规、部门规章及标准规范的要求。</w:t>
      </w:r>
    </w:p>
    <w:p w14:paraId="3879596A">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针对性:检测工作应紧密结合本工程采用的"土工管袋脱水"与"板框压滤脱水"等工艺特点，重点监控固化土最终处置前的关键理化指标及余水排放的环境风险指标。</w:t>
      </w:r>
    </w:p>
    <w:p w14:paraId="30859C79">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动态性:检测计划与频率应能适应工程实际进度、各固化场区(后港河北、林庄港北、宜兴太湖清淤南部固化中心、北塘土工管袋场)的施工强度以及可能出现的底泥来源与性质变化，具备动态调整的机制。</w:t>
      </w:r>
    </w:p>
    <w:p w14:paraId="0F0BD5B0">
      <w:pPr>
        <w:keepNext w:val="0"/>
        <w:keepLines w:val="0"/>
        <w:widowControl w:val="0"/>
        <w:numPr>
          <w:ilvl w:val="0"/>
          <w:numId w:val="12"/>
        </w:numPr>
        <w:suppressLineNumbers w:val="0"/>
        <w:spacing w:before="0" w:beforeAutospacing="0" w:after="0" w:afterAutospacing="0" w:line="360" w:lineRule="auto"/>
        <w:ind w:left="0" w:leftChars="0" w:right="0" w:firstLine="0" w:firstLineChars="0"/>
        <w:jc w:val="both"/>
        <w:rPr>
          <w:rFonts w:hint="eastAsia" w:cs="宋体"/>
          <w:b/>
          <w:bCs/>
          <w:kern w:val="2"/>
          <w:sz w:val="24"/>
          <w:szCs w:val="32"/>
          <w:highlight w:val="none"/>
          <w:lang w:val="en-US" w:eastAsia="zh-CN" w:bidi="ar"/>
        </w:rPr>
      </w:pPr>
      <w:r>
        <w:rPr>
          <w:rFonts w:hint="eastAsia" w:cs="宋体"/>
          <w:b/>
          <w:bCs/>
          <w:kern w:val="2"/>
          <w:sz w:val="24"/>
          <w:szCs w:val="32"/>
          <w:highlight w:val="none"/>
          <w:lang w:val="en-US" w:eastAsia="zh-CN" w:bidi="ar"/>
        </w:rPr>
        <w:t>检测内容和频次</w:t>
      </w:r>
    </w:p>
    <w:p w14:paraId="06F5E193">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1、固化土</w:t>
      </w:r>
      <w:r>
        <w:rPr>
          <w:rFonts w:hint="eastAsia" w:ascii="宋体" w:hAnsi="宋体" w:cs="宋体"/>
          <w:kern w:val="2"/>
          <w:sz w:val="24"/>
          <w:szCs w:val="24"/>
          <w:highlight w:val="none"/>
          <w:lang w:val="en-US" w:eastAsia="zh-CN" w:bidi="ar"/>
        </w:rPr>
        <w:t>检测</w:t>
      </w:r>
    </w:p>
    <w:p w14:paraId="1EBA13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须对固化后的土方进行检测，具体要求如下。</w:t>
      </w:r>
    </w:p>
    <w:p w14:paraId="6A757F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bookmarkStart w:id="74" w:name="_Hlk199342322"/>
      <w:r>
        <w:rPr>
          <w:rFonts w:hint="eastAsia" w:ascii="宋体" w:hAnsi="宋体" w:eastAsia="宋体" w:cs="宋体"/>
          <w:kern w:val="2"/>
          <w:sz w:val="24"/>
          <w:szCs w:val="24"/>
          <w:highlight w:val="none"/>
          <w:lang w:val="en-US" w:eastAsia="zh-CN" w:bidi="ar"/>
        </w:rPr>
        <w:t>土工管袋固结后土的含水率要求不大于65%（水重/干土粒重，下同），板框压滤固结后土的含水率要求不大于55%。检测结果95%（含）以上满足为优良，90%（含）以上满足为合格。</w:t>
      </w:r>
      <w:bookmarkEnd w:id="74"/>
    </w:p>
    <w:p w14:paraId="0A7F5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（2）pH值6~8。</w:t>
      </w:r>
    </w:p>
    <w:p w14:paraId="46A361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（3）重金属。</w:t>
      </w:r>
      <w:bookmarkStart w:id="75" w:name="_Hlk199342369"/>
      <w:r>
        <w:rPr>
          <w:rFonts w:hint="eastAsia" w:ascii="宋体" w:hAnsi="宋体" w:eastAsia="宋体" w:cs="宋体"/>
          <w:kern w:val="2"/>
          <w:sz w:val="24"/>
          <w:szCs w:val="24"/>
          <w:highlight w:val="none"/>
          <w:lang w:val="en-US" w:eastAsia="zh-CN" w:bidi="ar"/>
        </w:rPr>
        <w:t>要求对底泥</w:t>
      </w:r>
      <w:r>
        <w:rPr>
          <w:rFonts w:hint="eastAsia" w:ascii="宋体" w:hAnsi="宋体" w:cs="宋体"/>
          <w:kern w:val="2"/>
          <w:sz w:val="24"/>
          <w:szCs w:val="24"/>
          <w:highlight w:val="none"/>
          <w:lang w:val="en-US" w:eastAsia="zh-CN" w:bidi="ar"/>
        </w:rPr>
        <w:t>/固化土</w:t>
      </w:r>
      <w:r>
        <w:rPr>
          <w:rFonts w:hint="eastAsia" w:ascii="宋体" w:hAnsi="宋体" w:eastAsia="宋体" w:cs="宋体"/>
          <w:kern w:val="2"/>
          <w:sz w:val="24"/>
          <w:szCs w:val="24"/>
          <w:highlight w:val="none"/>
          <w:lang w:val="en-US" w:eastAsia="zh-CN" w:bidi="ar"/>
        </w:rPr>
        <w:t>中重金属镉、汞、砷、铅、铬、铜、镍、锌等按照《土壤环境质量农用地土壤污染风险管控标准（试行）》GB15618-2018规定的标准进行检测。根据检测结果，评判固化土是否符合相应堆场的环保要求</w:t>
      </w:r>
      <w:bookmarkEnd w:id="75"/>
      <w:r>
        <w:rPr>
          <w:rFonts w:hint="eastAsia" w:ascii="宋体" w:hAnsi="宋体" w:eastAsia="宋体" w:cs="宋体"/>
          <w:kern w:val="2"/>
          <w:sz w:val="24"/>
          <w:szCs w:val="24"/>
          <w:highlight w:val="none"/>
          <w:lang w:val="en-US" w:eastAsia="zh-CN" w:bidi="ar"/>
        </w:rPr>
        <w:t>。</w:t>
      </w:r>
    </w:p>
    <w:p w14:paraId="182608B7">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2、余水</w:t>
      </w:r>
      <w:r>
        <w:rPr>
          <w:rFonts w:hint="eastAsia" w:ascii="宋体" w:hAnsi="宋体" w:cs="宋体"/>
          <w:kern w:val="2"/>
          <w:sz w:val="24"/>
          <w:szCs w:val="24"/>
          <w:highlight w:val="none"/>
          <w:lang w:val="en-US" w:eastAsia="zh-CN" w:bidi="ar"/>
        </w:rPr>
        <w:t>检测</w:t>
      </w:r>
    </w:p>
    <w:p w14:paraId="494817F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底泥固化后余水处理排放需达到：总磷TP≤0.2mg/L，氨氮NH3-N≤1.0 mg/L，化学需氧量COD≤20mg/L，悬浮物按照《城镇污水处理厂污染物排放标准》(GB18918-2002)中二级标准，即</w:t>
      </w:r>
      <w:r>
        <w:rPr>
          <w:rFonts w:hint="eastAsia" w:ascii="宋体" w:hAnsi="宋体" w:cs="宋体"/>
          <w:kern w:val="2"/>
          <w:sz w:val="24"/>
          <w:szCs w:val="24"/>
          <w:highlight w:val="none"/>
          <w:lang w:val="en-US" w:eastAsia="zh-CN" w:bidi="ar"/>
        </w:rPr>
        <w:t>SS</w:t>
      </w:r>
      <w:r>
        <w:rPr>
          <w:rFonts w:hint="eastAsia" w:ascii="宋体" w:hAnsi="宋体" w:eastAsia="宋体" w:cs="宋体"/>
          <w:kern w:val="2"/>
          <w:sz w:val="24"/>
          <w:szCs w:val="24"/>
          <w:highlight w:val="none"/>
          <w:lang w:val="en-US" w:eastAsia="zh-CN" w:bidi="ar"/>
        </w:rPr>
        <w:t>≤30mg/L，总氮TN排放标准在《太湖地区城镇污水处理厂及重点工业行业主要水污染物排放限值》（DB321072-2018）的基础上适当提高，即总氮TN≤6mg/L。</w:t>
      </w:r>
      <w:r>
        <w:rPr>
          <w:rFonts w:hint="eastAsia" w:ascii="宋体" w:hAnsi="宋体" w:cs="宋体"/>
          <w:kern w:val="2"/>
          <w:sz w:val="24"/>
          <w:szCs w:val="24"/>
          <w:highlight w:val="none"/>
          <w:lang w:val="en-US" w:eastAsia="zh-CN" w:bidi="ar"/>
        </w:rPr>
        <w:t>PH值及其他特征重金属指标应符合国家及地方相关污水排放标准。</w:t>
      </w:r>
      <w:r>
        <w:rPr>
          <w:rFonts w:hint="eastAsia" w:ascii="宋体" w:hAnsi="宋体" w:eastAsia="宋体" w:cs="宋体"/>
          <w:kern w:val="2"/>
          <w:sz w:val="24"/>
          <w:szCs w:val="24"/>
          <w:highlight w:val="none"/>
          <w:lang w:val="en-US" w:eastAsia="zh-CN" w:bidi="ar"/>
        </w:rPr>
        <w:t>实施时须满足当地生环部门要求。根据检测结果，评判余水指标是否达到排放标准，未达标不得排放。</w:t>
      </w:r>
    </w:p>
    <w:p w14:paraId="6570AD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3、检测频次</w:t>
      </w:r>
    </w:p>
    <w:p w14:paraId="65AA8F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检测</w:t>
      </w:r>
      <w:r>
        <w:rPr>
          <w:rFonts w:hint="eastAsia" w:ascii="宋体" w:hAnsi="宋体" w:eastAsia="宋体" w:cs="宋体"/>
          <w:kern w:val="2"/>
          <w:sz w:val="24"/>
          <w:szCs w:val="24"/>
          <w:highlight w:val="none"/>
          <w:lang w:val="en-US" w:eastAsia="zh-CN" w:bidi="ar"/>
        </w:rPr>
        <w:t>频次不低于下表所列数值，若要降低频次，需报相关单位批准</w:t>
      </w:r>
      <w:r>
        <w:rPr>
          <w:rFonts w:hint="eastAsia" w:ascii="宋体" w:hAnsi="宋体" w:cs="宋体"/>
          <w:kern w:val="2"/>
          <w:sz w:val="24"/>
          <w:szCs w:val="24"/>
          <w:highlight w:val="none"/>
          <w:lang w:val="en-US" w:eastAsia="zh-CN" w:bidi="ar"/>
        </w:rPr>
        <w:t>。</w:t>
      </w:r>
    </w:p>
    <w:p w14:paraId="0266BB14">
      <w:pPr>
        <w:keepNext w:val="0"/>
        <w:keepLines w:val="0"/>
        <w:widowControl w:val="0"/>
        <w:suppressLineNumbers w:val="0"/>
        <w:spacing w:before="0" w:beforeAutospacing="0" w:after="0" w:afterAutospacing="0" w:line="360" w:lineRule="auto"/>
        <w:ind w:left="0" w:right="0" w:firstLine="480" w:firstLineChars="200"/>
        <w:jc w:val="center"/>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固化土及余水检测项目及频率表</w:t>
      </w:r>
    </w:p>
    <w:tbl>
      <w:tblPr>
        <w:tblStyle w:val="3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53"/>
        <w:gridCol w:w="2489"/>
        <w:gridCol w:w="3355"/>
        <w:gridCol w:w="2581"/>
      </w:tblGrid>
      <w:tr w14:paraId="15CB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Align w:val="center"/>
          </w:tcPr>
          <w:p w14:paraId="24ED93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序号</w:t>
            </w:r>
          </w:p>
        </w:tc>
        <w:tc>
          <w:tcPr>
            <w:tcW w:w="513" w:type="pct"/>
            <w:vAlign w:val="center"/>
          </w:tcPr>
          <w:p w14:paraId="5D943F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检测部</w:t>
            </w:r>
          </w:p>
        </w:tc>
        <w:tc>
          <w:tcPr>
            <w:tcW w:w="1213" w:type="pct"/>
            <w:vAlign w:val="center"/>
          </w:tcPr>
          <w:p w14:paraId="2F8FB3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检测项目</w:t>
            </w:r>
          </w:p>
        </w:tc>
        <w:tc>
          <w:tcPr>
            <w:tcW w:w="1635" w:type="pct"/>
            <w:vAlign w:val="center"/>
          </w:tcPr>
          <w:p w14:paraId="481574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检测频次</w:t>
            </w:r>
          </w:p>
        </w:tc>
        <w:tc>
          <w:tcPr>
            <w:tcW w:w="1258" w:type="pct"/>
            <w:vAlign w:val="center"/>
          </w:tcPr>
          <w:p w14:paraId="59D489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备注</w:t>
            </w:r>
          </w:p>
        </w:tc>
      </w:tr>
      <w:tr w14:paraId="0B98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restart"/>
            <w:vAlign w:val="center"/>
          </w:tcPr>
          <w:p w14:paraId="237A65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3" w:type="pct"/>
            <w:vMerge w:val="restart"/>
            <w:vAlign w:val="center"/>
          </w:tcPr>
          <w:p w14:paraId="5DE4C5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固化土</w:t>
            </w:r>
          </w:p>
        </w:tc>
        <w:tc>
          <w:tcPr>
            <w:tcW w:w="1213" w:type="pct"/>
            <w:vAlign w:val="center"/>
          </w:tcPr>
          <w:p w14:paraId="1D270DA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PH值、重金属：汞、砷、铜、铅、铬、锌、镍</w:t>
            </w:r>
          </w:p>
        </w:tc>
        <w:tc>
          <w:tcPr>
            <w:tcW w:w="1635" w:type="pct"/>
            <w:vAlign w:val="center"/>
          </w:tcPr>
          <w:p w14:paraId="1C7600E6">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总计检测次数不少于10次</w:t>
            </w:r>
          </w:p>
        </w:tc>
        <w:tc>
          <w:tcPr>
            <w:tcW w:w="1258" w:type="pct"/>
            <w:vAlign w:val="center"/>
          </w:tcPr>
          <w:p w14:paraId="639706A7">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约按每40万m3原泥（或对应固化土方量）1次计，不足1次按1次计。固化土外运处置前完成检测</w:t>
            </w:r>
          </w:p>
        </w:tc>
      </w:tr>
      <w:tr w14:paraId="4DF0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6C8C1F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37B016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43AF029C">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镉</w:t>
            </w:r>
            <w:r>
              <w:rPr>
                <w:rFonts w:hint="eastAsia" w:ascii="宋体" w:hAnsi="宋体" w:cs="宋体"/>
                <w:kern w:val="2"/>
                <w:sz w:val="24"/>
                <w:szCs w:val="24"/>
                <w:highlight w:val="none"/>
                <w:lang w:val="en-US" w:eastAsia="zh-CN" w:bidi="ar"/>
              </w:rPr>
              <w:t>、含水量</w:t>
            </w:r>
          </w:p>
        </w:tc>
        <w:tc>
          <w:tcPr>
            <w:tcW w:w="1635" w:type="pct"/>
            <w:vAlign w:val="center"/>
          </w:tcPr>
          <w:p w14:paraId="4B5A36EA">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每10万m3原泥（或对应固化土方量）不少于1次，总计检测次数不少于33次</w:t>
            </w:r>
          </w:p>
        </w:tc>
        <w:tc>
          <w:tcPr>
            <w:tcW w:w="1258" w:type="pct"/>
            <w:vAlign w:val="center"/>
          </w:tcPr>
          <w:p w14:paraId="09DEAACC">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固化土外运处置前完成检测</w:t>
            </w:r>
          </w:p>
        </w:tc>
      </w:tr>
      <w:tr w14:paraId="39CF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17A980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029B50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4D21AE0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浸出毒性</w:t>
            </w:r>
          </w:p>
          <w:p w14:paraId="4E9EFAD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（汞、砷、铜、铅、铬、镍、锌、镉）</w:t>
            </w:r>
          </w:p>
        </w:tc>
        <w:tc>
          <w:tcPr>
            <w:tcW w:w="1635" w:type="pct"/>
            <w:vAlign w:val="center"/>
          </w:tcPr>
          <w:p w14:paraId="2AB47779">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总计检测次数不少于10次</w:t>
            </w:r>
          </w:p>
        </w:tc>
        <w:tc>
          <w:tcPr>
            <w:tcW w:w="1258" w:type="pct"/>
            <w:vAlign w:val="center"/>
          </w:tcPr>
          <w:p w14:paraId="69811B28">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约按每40万m3原泥（或对应固化土方量）1次计，不足1次按1次计。固化土外运处置前完成检测</w:t>
            </w:r>
          </w:p>
        </w:tc>
      </w:tr>
      <w:tr w14:paraId="053B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restart"/>
            <w:vAlign w:val="center"/>
          </w:tcPr>
          <w:p w14:paraId="3682E5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w:t>
            </w:r>
          </w:p>
        </w:tc>
        <w:tc>
          <w:tcPr>
            <w:tcW w:w="513" w:type="pct"/>
            <w:vMerge w:val="restart"/>
            <w:vAlign w:val="center"/>
          </w:tcPr>
          <w:p w14:paraId="51C5B3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余水</w:t>
            </w:r>
          </w:p>
        </w:tc>
        <w:tc>
          <w:tcPr>
            <w:tcW w:w="1213" w:type="pct"/>
            <w:vAlign w:val="center"/>
          </w:tcPr>
          <w:p w14:paraId="6B31628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总磷、氨氮、总氮、COD、SS</w:t>
            </w:r>
          </w:p>
        </w:tc>
        <w:tc>
          <w:tcPr>
            <w:tcW w:w="1635" w:type="pct"/>
            <w:vAlign w:val="center"/>
          </w:tcPr>
          <w:p w14:paraId="5AEDDED0">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每个排水口不少于每周1次，4个固化场总计检测次数不少于220次</w:t>
            </w:r>
          </w:p>
        </w:tc>
        <w:tc>
          <w:tcPr>
            <w:tcW w:w="1258" w:type="pct"/>
            <w:vAlign w:val="center"/>
          </w:tcPr>
          <w:p w14:paraId="7C0437A7">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p>
        </w:tc>
      </w:tr>
      <w:tr w14:paraId="39AB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7D002D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689AD2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2E6D111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PH值、重金属：汞、砷、铜、铅、铬、锌、镍、镉</w:t>
            </w:r>
          </w:p>
        </w:tc>
        <w:tc>
          <w:tcPr>
            <w:tcW w:w="1635" w:type="pct"/>
            <w:vAlign w:val="center"/>
          </w:tcPr>
          <w:p w14:paraId="40FB26E6">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每个排水口不少于每月1次，4个固化场总计检测次数不少于51次</w:t>
            </w:r>
          </w:p>
        </w:tc>
        <w:tc>
          <w:tcPr>
            <w:tcW w:w="1258" w:type="pct"/>
            <w:vAlign w:val="center"/>
          </w:tcPr>
          <w:p w14:paraId="3E77C118">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p>
        </w:tc>
      </w:tr>
    </w:tbl>
    <w:p w14:paraId="69EBF0AF">
      <w:pPr>
        <w:keepNext w:val="0"/>
        <w:keepLines w:val="0"/>
        <w:widowControl w:val="0"/>
        <w:suppressLineNumbers w:val="0"/>
        <w:spacing w:before="0" w:beforeAutospacing="0" w:after="0" w:afterAutospacing="0" w:line="360" w:lineRule="auto"/>
        <w:ind w:left="0" w:right="0" w:firstLine="482" w:firstLineChars="200"/>
        <w:jc w:val="both"/>
        <w:rPr>
          <w:rFonts w:hint="default" w:ascii="宋体" w:hAnsi="宋体" w:eastAsia="宋体" w:cs="宋体"/>
          <w:b/>
          <w:bCs/>
          <w:color w:val="FF0000"/>
          <w:kern w:val="2"/>
          <w:sz w:val="24"/>
          <w:szCs w:val="24"/>
          <w:highlight w:val="none"/>
          <w:lang w:val="en-US" w:eastAsia="zh-CN" w:bidi="ar"/>
        </w:rPr>
      </w:pPr>
      <w:r>
        <w:rPr>
          <w:rFonts w:hint="eastAsia" w:ascii="宋体" w:hAnsi="宋体" w:eastAsia="宋体" w:cs="宋体"/>
          <w:b/>
          <w:bCs/>
          <w:color w:val="FF0000"/>
          <w:kern w:val="2"/>
          <w:sz w:val="24"/>
          <w:szCs w:val="24"/>
          <w:highlight w:val="none"/>
          <w:lang w:val="en-US" w:eastAsia="zh-CN" w:bidi="ar"/>
        </w:rPr>
        <w:t>上述检测频次为采购人初步统计，最终以采购人实际委托要求为准，</w:t>
      </w:r>
      <w:r>
        <w:rPr>
          <w:rFonts w:hint="eastAsia" w:ascii="宋体" w:hAnsi="宋体" w:cs="宋体"/>
          <w:b/>
          <w:bCs/>
          <w:color w:val="FF0000"/>
          <w:kern w:val="2"/>
          <w:sz w:val="24"/>
          <w:szCs w:val="24"/>
          <w:highlight w:val="none"/>
          <w:lang w:val="en-US" w:eastAsia="zh-CN" w:bidi="ar"/>
        </w:rPr>
        <w:t>中标</w:t>
      </w:r>
      <w:r>
        <w:rPr>
          <w:rFonts w:hint="eastAsia" w:ascii="宋体" w:hAnsi="宋体" w:eastAsia="宋体" w:cs="宋体"/>
          <w:b/>
          <w:bCs/>
          <w:color w:val="FF0000"/>
          <w:kern w:val="2"/>
          <w:sz w:val="24"/>
          <w:szCs w:val="24"/>
          <w:highlight w:val="none"/>
          <w:lang w:val="en-US" w:eastAsia="zh-CN" w:bidi="ar"/>
        </w:rPr>
        <w:t>供应商必须无条件配合服从并不得以此作为索赔。</w:t>
      </w:r>
    </w:p>
    <w:p w14:paraId="44336D7B">
      <w:pPr>
        <w:keepNext w:val="0"/>
        <w:keepLines w:val="0"/>
        <w:widowControl w:val="0"/>
        <w:numPr>
          <w:ilvl w:val="0"/>
          <w:numId w:val="0"/>
        </w:numPr>
        <w:suppressLineNumbers w:val="0"/>
        <w:spacing w:before="0" w:beforeAutospacing="0" w:after="0" w:afterAutospacing="0" w:line="360" w:lineRule="auto"/>
        <w:ind w:leftChars="0" w:right="0" w:rightChars="0" w:firstLine="482" w:firstLineChars="200"/>
        <w:jc w:val="both"/>
        <w:rPr>
          <w:rFonts w:hint="eastAsia" w:ascii="宋体" w:hAnsi="宋体" w:cs="宋体"/>
          <w:b/>
          <w:bCs/>
          <w:kern w:val="2"/>
          <w:sz w:val="24"/>
          <w:szCs w:val="24"/>
          <w:highlight w:val="none"/>
          <w:lang w:val="en-US" w:eastAsia="zh-CN" w:bidi="ar"/>
        </w:rPr>
      </w:pPr>
      <w:r>
        <w:rPr>
          <w:rFonts w:hint="eastAsia" w:ascii="宋体" w:hAnsi="宋体" w:cs="宋体"/>
          <w:b/>
          <w:bCs/>
          <w:kern w:val="2"/>
          <w:sz w:val="24"/>
          <w:szCs w:val="24"/>
          <w:highlight w:val="none"/>
          <w:lang w:val="en-US" w:eastAsia="zh-CN" w:bidi="ar"/>
        </w:rPr>
        <w:t>五、其他</w:t>
      </w:r>
    </w:p>
    <w:p w14:paraId="68CCE7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1、按照主管部门要求，定期参加工程施工期工地例会，上报相关</w:t>
      </w:r>
      <w:r>
        <w:rPr>
          <w:rFonts w:hint="eastAsia" w:ascii="宋体" w:hAnsi="宋体" w:cs="宋体"/>
          <w:kern w:val="2"/>
          <w:sz w:val="24"/>
          <w:szCs w:val="24"/>
          <w:highlight w:val="none"/>
          <w:lang w:val="en-US" w:eastAsia="zh-CN" w:bidi="ar"/>
        </w:rPr>
        <w:t>检测</w:t>
      </w:r>
      <w:r>
        <w:rPr>
          <w:rFonts w:hint="eastAsia" w:ascii="宋体" w:hAnsi="宋体" w:eastAsia="宋体" w:cs="宋体"/>
          <w:kern w:val="2"/>
          <w:sz w:val="24"/>
          <w:szCs w:val="24"/>
          <w:highlight w:val="none"/>
          <w:lang w:val="en-US" w:eastAsia="zh-CN" w:bidi="ar"/>
        </w:rPr>
        <w:t>数据及成果。</w:t>
      </w:r>
    </w:p>
    <w:p w14:paraId="11A75D0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2、服务质量要求：合格标准，满足建设项目竣工环境保护验收要求，提交报告的数量满足档案和竣工环境保护验收的要求。</w:t>
      </w:r>
    </w:p>
    <w:p w14:paraId="6632F1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3、本项目如需相关人员驻场，驻场人员的交通、住宿、伙食等所有费用均由供应商承担。</w:t>
      </w:r>
    </w:p>
    <w:p w14:paraId="120976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4、如因用工不规范或薪酬问题等产生的纠纷与采购人无关，由供应商负责解决。如发生债权、债务纠纷和工伤等责任事故，均由供应商负责承担。</w:t>
      </w:r>
    </w:p>
    <w:p w14:paraId="59AA8D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5、服务期间，供应商自行对员工的安全负责，如因安全作业或安全预防措施不到位，造成的一切安全责任由供应商自行承担。</w:t>
      </w:r>
    </w:p>
    <w:p w14:paraId="1875B9A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宋体" w:hAnsi="宋体" w:eastAsia="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6、</w:t>
      </w:r>
      <w:r>
        <w:rPr>
          <w:rFonts w:hint="eastAsia" w:ascii="宋体" w:hAnsi="宋体" w:eastAsia="宋体" w:cs="宋体"/>
          <w:kern w:val="2"/>
          <w:sz w:val="24"/>
          <w:szCs w:val="24"/>
          <w:highlight w:val="none"/>
          <w:lang w:val="en-US" w:eastAsia="zh-CN" w:bidi="ar"/>
        </w:rPr>
        <w:t>中标供应商在接</w:t>
      </w:r>
      <w:r>
        <w:rPr>
          <w:rFonts w:hint="eastAsia" w:ascii="宋体" w:hAnsi="宋体" w:cs="宋体"/>
          <w:kern w:val="2"/>
          <w:sz w:val="24"/>
          <w:szCs w:val="24"/>
          <w:highlight w:val="none"/>
          <w:lang w:val="en-US" w:eastAsia="zh-CN" w:bidi="ar"/>
        </w:rPr>
        <w:t>到</w:t>
      </w:r>
      <w:r>
        <w:rPr>
          <w:rFonts w:hint="eastAsia" w:ascii="宋体" w:hAnsi="宋体" w:eastAsia="宋体" w:cs="宋体"/>
          <w:kern w:val="2"/>
          <w:sz w:val="24"/>
          <w:szCs w:val="24"/>
          <w:highlight w:val="none"/>
          <w:lang w:val="en-US" w:eastAsia="zh-CN" w:bidi="ar"/>
        </w:rPr>
        <w:t>采购人通知后1小时内</w:t>
      </w:r>
      <w:r>
        <w:rPr>
          <w:rFonts w:hint="eastAsia" w:ascii="宋体" w:hAnsi="宋体" w:cs="宋体"/>
          <w:kern w:val="2"/>
          <w:sz w:val="24"/>
          <w:szCs w:val="24"/>
          <w:highlight w:val="none"/>
          <w:lang w:val="en-US" w:eastAsia="zh-CN" w:bidi="ar"/>
        </w:rPr>
        <w:t>作</w:t>
      </w:r>
      <w:r>
        <w:rPr>
          <w:rFonts w:hint="eastAsia" w:ascii="宋体" w:hAnsi="宋体" w:eastAsia="宋体" w:cs="宋体"/>
          <w:kern w:val="2"/>
          <w:sz w:val="24"/>
          <w:szCs w:val="24"/>
          <w:highlight w:val="none"/>
          <w:lang w:val="en-US" w:eastAsia="zh-CN" w:bidi="ar"/>
        </w:rPr>
        <w:t>出响应来到现场进行采样，24小时内</w:t>
      </w:r>
      <w:r>
        <w:rPr>
          <w:rFonts w:hint="eastAsia" w:ascii="宋体" w:hAnsi="宋体" w:cs="宋体"/>
          <w:kern w:val="2"/>
          <w:sz w:val="24"/>
          <w:szCs w:val="24"/>
          <w:highlight w:val="none"/>
          <w:lang w:val="en-US" w:eastAsia="zh-CN" w:bidi="ar"/>
        </w:rPr>
        <w:t>完成采样，并于采样结束后7日内出具相关要求的检测报告。</w:t>
      </w:r>
    </w:p>
    <w:p w14:paraId="532BDBDE">
      <w:pPr>
        <w:keepNext w:val="0"/>
        <w:keepLines w:val="0"/>
        <w:widowControl w:val="0"/>
        <w:suppressLineNumbers w:val="0"/>
        <w:spacing w:before="0" w:beforeAutospacing="0" w:after="0" w:afterAutospacing="0" w:line="360" w:lineRule="auto"/>
        <w:ind w:right="0" w:firstLine="482" w:firstLineChars="200"/>
        <w:jc w:val="both"/>
        <w:rPr>
          <w:rFonts w:hint="eastAsia" w:ascii="宋体" w:hAnsi="宋体" w:eastAsia="宋体" w:cs="宋体"/>
          <w:b/>
          <w:bCs w:val="0"/>
          <w:sz w:val="24"/>
          <w:szCs w:val="24"/>
          <w:highlight w:val="none"/>
          <w:lang w:val="en-US"/>
        </w:rPr>
      </w:pPr>
      <w:r>
        <w:rPr>
          <w:rFonts w:hint="eastAsia" w:ascii="宋体" w:hAnsi="宋体" w:cs="宋体"/>
          <w:b/>
          <w:bCs w:val="0"/>
          <w:kern w:val="2"/>
          <w:sz w:val="24"/>
          <w:szCs w:val="24"/>
          <w:highlight w:val="none"/>
          <w:lang w:val="en-US" w:eastAsia="zh-CN" w:bidi="ar"/>
        </w:rPr>
        <w:t>六</w:t>
      </w:r>
      <w:r>
        <w:rPr>
          <w:rFonts w:hint="eastAsia" w:ascii="宋体" w:hAnsi="宋体" w:eastAsia="宋体" w:cs="宋体"/>
          <w:b/>
          <w:bCs w:val="0"/>
          <w:kern w:val="2"/>
          <w:sz w:val="24"/>
          <w:szCs w:val="24"/>
          <w:highlight w:val="none"/>
          <w:lang w:val="en-US" w:eastAsia="zh-CN" w:bidi="ar"/>
        </w:rPr>
        <w:t>、验收标准和方法：</w:t>
      </w:r>
    </w:p>
    <w:p w14:paraId="25D380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1、供应商</w:t>
      </w:r>
      <w:r>
        <w:rPr>
          <w:rFonts w:hint="eastAsia" w:ascii="宋体" w:hAnsi="宋体" w:eastAsia="宋体" w:cs="宋体"/>
          <w:kern w:val="2"/>
          <w:sz w:val="24"/>
          <w:szCs w:val="24"/>
          <w:highlight w:val="none"/>
          <w:lang w:val="en-US" w:eastAsia="zh-CN" w:bidi="ar"/>
        </w:rPr>
        <w:t>提交工作成果的形式：检测报告以文本形式</w:t>
      </w:r>
      <w:r>
        <w:rPr>
          <w:rFonts w:hint="eastAsia" w:ascii="宋体" w:hAnsi="宋体" w:cs="宋体"/>
          <w:kern w:val="2"/>
          <w:sz w:val="24"/>
          <w:szCs w:val="24"/>
          <w:highlight w:val="none"/>
          <w:lang w:val="en-US" w:eastAsia="zh-CN" w:bidi="ar"/>
        </w:rPr>
        <w:t>出具</w:t>
      </w:r>
      <w:r>
        <w:rPr>
          <w:rFonts w:hint="eastAsia" w:ascii="宋体" w:hAnsi="宋体" w:eastAsia="宋体" w:cs="宋体"/>
          <w:kern w:val="2"/>
          <w:sz w:val="24"/>
          <w:szCs w:val="24"/>
          <w:highlight w:val="none"/>
          <w:lang w:val="en-US" w:eastAsia="zh-CN" w:bidi="ar"/>
        </w:rPr>
        <w:t>；</w:t>
      </w:r>
    </w:p>
    <w:p w14:paraId="4EA7F8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2、</w:t>
      </w:r>
      <w:r>
        <w:rPr>
          <w:rFonts w:hint="eastAsia" w:ascii="宋体" w:hAnsi="宋体" w:eastAsia="宋体" w:cs="宋体"/>
          <w:kern w:val="2"/>
          <w:sz w:val="24"/>
          <w:szCs w:val="24"/>
          <w:highlight w:val="none"/>
          <w:lang w:val="en-US" w:eastAsia="zh-CN" w:bidi="ar"/>
        </w:rPr>
        <w:t>工作成果的验收标准：达到国家、省、市的技术标准；</w:t>
      </w:r>
    </w:p>
    <w:p w14:paraId="742C52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工作成果的验收方法：满足行政主管部门的验收和审查；</w:t>
      </w:r>
    </w:p>
    <w:p w14:paraId="1856BE91">
      <w:pPr>
        <w:pStyle w:val="178"/>
        <w:spacing w:before="120" w:after="120" w:line="360" w:lineRule="auto"/>
        <w:ind w:firstLine="482" w:firstLineChars="200"/>
        <w:rPr>
          <w:rFonts w:hint="eastAsia" w:cs="黑体" w:asciiTheme="minorEastAsia" w:hAnsiTheme="minorEastAsia" w:eastAsiaTheme="minorEastAsia"/>
          <w:b/>
          <w:bCs/>
          <w:kern w:val="2"/>
          <w:sz w:val="24"/>
          <w:szCs w:val="24"/>
          <w:highlight w:val="none"/>
          <w:lang w:val="en-US" w:eastAsia="zh-CN" w:bidi="ar-SA"/>
        </w:rPr>
      </w:pPr>
      <w:r>
        <w:rPr>
          <w:rFonts w:hint="eastAsia" w:cs="黑体" w:asciiTheme="minorEastAsia" w:hAnsiTheme="minorEastAsia" w:eastAsiaTheme="minorEastAsia"/>
          <w:b/>
          <w:bCs/>
          <w:kern w:val="2"/>
          <w:sz w:val="24"/>
          <w:szCs w:val="24"/>
          <w:highlight w:val="none"/>
          <w:lang w:val="en-US" w:eastAsia="zh-CN" w:bidi="ar-SA"/>
        </w:rPr>
        <w:t>七、报价</w:t>
      </w:r>
    </w:p>
    <w:p w14:paraId="0FCDEC90">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项目投标报价包括供应商承担该项目全部所需的所有设备费、劳务费、管理费、材料费、利润、税金、保险、政策性文件规定费用、参与此次项目所有人员的住宿费、水电费、交通费、通讯费等以及合同明示或暗示的一般风险、责任和义务等一切因实施本项目产生的全部费用。</w:t>
      </w:r>
    </w:p>
    <w:p w14:paraId="0238CC44">
      <w:pPr>
        <w:pStyle w:val="178"/>
        <w:spacing w:before="120" w:after="120" w:line="440" w:lineRule="exact"/>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sz w:val="24"/>
          <w:szCs w:val="24"/>
          <w:highlight w:val="none"/>
        </w:rPr>
        <w:t>本项目的费用总价在合同实施期间不因项目的服务期延长等因素而调整。中标价一经确定，不作调整。</w:t>
      </w:r>
    </w:p>
    <w:p w14:paraId="0EC35552">
      <w:pPr>
        <w:pStyle w:val="178"/>
        <w:keepNext w:val="0"/>
        <w:keepLines w:val="0"/>
        <w:pageBreakBefore w:val="0"/>
        <w:widowControl w:val="0"/>
        <w:kinsoku/>
        <w:wordWrap/>
        <w:overflowPunct/>
        <w:topLinePunct w:val="0"/>
        <w:bidi w:val="0"/>
        <w:spacing w:before="120" w:after="120" w:line="360" w:lineRule="auto"/>
        <w:ind w:firstLine="482" w:firstLineChars="200"/>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八、</w:t>
      </w:r>
      <w:r>
        <w:rPr>
          <w:rFonts w:hint="eastAsia" w:asciiTheme="minorEastAsia" w:hAnsiTheme="minorEastAsia" w:eastAsiaTheme="minorEastAsia"/>
          <w:bCs/>
          <w:sz w:val="24"/>
          <w:szCs w:val="24"/>
          <w:highlight w:val="none"/>
        </w:rPr>
        <w:t>商务要求</w:t>
      </w:r>
    </w:p>
    <w:p w14:paraId="55C8D968">
      <w:pPr>
        <w:pStyle w:val="178"/>
        <w:spacing w:before="120" w:after="120" w:line="440" w:lineRule="exact"/>
        <w:ind w:firstLine="480" w:firstLineChars="200"/>
        <w:rPr>
          <w:rFonts w:hint="default" w:asciiTheme="minorEastAsia" w:hAnsiTheme="minorEastAsia" w:eastAsiaTheme="minorEastAsia"/>
          <w:b w:val="0"/>
          <w:sz w:val="24"/>
          <w:szCs w:val="24"/>
          <w:highlight w:val="none"/>
          <w:lang w:val="en-US" w:eastAsia="zh-CN"/>
        </w:rPr>
      </w:pPr>
      <w:r>
        <w:rPr>
          <w:rFonts w:hint="eastAsia" w:asciiTheme="minorEastAsia" w:hAnsiTheme="minorEastAsia" w:eastAsiaTheme="minorEastAsia"/>
          <w:b w:val="0"/>
          <w:sz w:val="24"/>
          <w:szCs w:val="24"/>
          <w:highlight w:val="none"/>
        </w:rPr>
        <w:t>1、服务期限：</w:t>
      </w:r>
      <w:r>
        <w:rPr>
          <w:rFonts w:hint="eastAsia" w:asciiTheme="minorEastAsia" w:hAnsiTheme="minorEastAsia" w:eastAsiaTheme="minorEastAsia"/>
          <w:b w:val="0"/>
          <w:sz w:val="24"/>
          <w:szCs w:val="24"/>
          <w:highlight w:val="none"/>
          <w:lang w:val="en-US" w:eastAsia="zh-CN"/>
        </w:rPr>
        <w:t>自工程开工之日起至完工时间止（完成规定的检测工作并出具相应合格的检测报告）</w:t>
      </w:r>
    </w:p>
    <w:p w14:paraId="7EFF79A4">
      <w:pPr>
        <w:pStyle w:val="178"/>
        <w:spacing w:before="120" w:after="120" w:line="440" w:lineRule="exact"/>
        <w:ind w:firstLine="482" w:firstLineChars="200"/>
        <w:rPr>
          <w:rFonts w:hint="eastAsia"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eastAsia="zh-CN"/>
        </w:rPr>
        <w:t>若检测报告未按采购人要求的时间出具的</w:t>
      </w:r>
      <w:r>
        <w:rPr>
          <w:rFonts w:hint="eastAsia" w:asciiTheme="minorEastAsia" w:hAnsiTheme="minorEastAsia" w:eastAsiaTheme="minorEastAsia"/>
          <w:b/>
          <w:bCs/>
          <w:sz w:val="24"/>
          <w:szCs w:val="24"/>
          <w:highlight w:val="none"/>
        </w:rPr>
        <w:t>，则中标方按中标价的千分之五/天支付违约金给采购人。</w:t>
      </w:r>
    </w:p>
    <w:p w14:paraId="0D51E8D7">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2、服务地点：宜兴市。</w:t>
      </w:r>
    </w:p>
    <w:p w14:paraId="7C578109">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3、验收标准：采购人根据国家有关规定、采购文件、投标文件以及合同约定的内容。</w:t>
      </w:r>
    </w:p>
    <w:p w14:paraId="24FB6CFC">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4、付款步骤：</w:t>
      </w:r>
      <w:r>
        <w:rPr>
          <w:rFonts w:hint="eastAsia" w:asciiTheme="minorEastAsia" w:hAnsiTheme="minorEastAsia" w:eastAsiaTheme="minorEastAsia"/>
          <w:b w:val="0"/>
          <w:sz w:val="24"/>
          <w:szCs w:val="24"/>
          <w:highlight w:val="none"/>
          <w:lang w:val="en-US" w:eastAsia="zh-CN"/>
        </w:rPr>
        <w:t>供应商</w:t>
      </w:r>
      <w:r>
        <w:rPr>
          <w:rFonts w:hint="eastAsia" w:asciiTheme="minorEastAsia" w:hAnsiTheme="minorEastAsia" w:eastAsiaTheme="minorEastAsia"/>
          <w:b w:val="0"/>
          <w:sz w:val="24"/>
          <w:szCs w:val="24"/>
          <w:highlight w:val="none"/>
        </w:rPr>
        <w:t>出具所有合格的检测报告后，向</w:t>
      </w:r>
      <w:r>
        <w:rPr>
          <w:rFonts w:hint="eastAsia" w:asciiTheme="minorEastAsia" w:hAnsiTheme="minorEastAsia" w:eastAsiaTheme="minorEastAsia"/>
          <w:b w:val="0"/>
          <w:sz w:val="24"/>
          <w:szCs w:val="24"/>
          <w:highlight w:val="none"/>
          <w:lang w:val="en-US" w:eastAsia="zh-CN"/>
        </w:rPr>
        <w:t>采购人</w:t>
      </w:r>
      <w:r>
        <w:rPr>
          <w:rFonts w:hint="eastAsia" w:asciiTheme="minorEastAsia" w:hAnsiTheme="minorEastAsia" w:eastAsiaTheme="minorEastAsia"/>
          <w:b w:val="0"/>
          <w:sz w:val="24"/>
          <w:szCs w:val="24"/>
          <w:highlight w:val="none"/>
        </w:rPr>
        <w:t>开具正式发票，</w:t>
      </w:r>
      <w:r>
        <w:rPr>
          <w:rFonts w:hint="eastAsia" w:asciiTheme="minorEastAsia" w:hAnsiTheme="minorEastAsia" w:eastAsiaTheme="minorEastAsia"/>
          <w:b w:val="0"/>
          <w:sz w:val="24"/>
          <w:szCs w:val="24"/>
          <w:highlight w:val="none"/>
          <w:lang w:val="en-US" w:eastAsia="zh-CN"/>
        </w:rPr>
        <w:t>采购人</w:t>
      </w:r>
      <w:r>
        <w:rPr>
          <w:rFonts w:hint="eastAsia" w:asciiTheme="minorEastAsia" w:hAnsiTheme="minorEastAsia" w:eastAsiaTheme="minorEastAsia"/>
          <w:b w:val="0"/>
          <w:sz w:val="24"/>
          <w:szCs w:val="24"/>
          <w:highlight w:val="none"/>
        </w:rPr>
        <w:t>收到正式报告（数据）及发票后30日内</w:t>
      </w:r>
      <w:r>
        <w:rPr>
          <w:rFonts w:hint="eastAsia" w:asciiTheme="minorEastAsia" w:hAnsiTheme="minorEastAsia" w:eastAsiaTheme="minorEastAsia"/>
          <w:b w:val="0"/>
          <w:sz w:val="24"/>
          <w:szCs w:val="24"/>
          <w:highlight w:val="none"/>
          <w:lang w:eastAsia="zh-CN"/>
        </w:rPr>
        <w:t>一次性</w:t>
      </w:r>
      <w:r>
        <w:rPr>
          <w:rFonts w:hint="eastAsia" w:asciiTheme="minorEastAsia" w:hAnsiTheme="minorEastAsia" w:eastAsiaTheme="minorEastAsia"/>
          <w:b w:val="0"/>
          <w:sz w:val="24"/>
          <w:szCs w:val="24"/>
          <w:highlight w:val="none"/>
        </w:rPr>
        <w:t>结算全部费用。</w:t>
      </w:r>
    </w:p>
    <w:p w14:paraId="4E20128D">
      <w:pPr>
        <w:pStyle w:val="178"/>
        <w:spacing w:before="120" w:after="120" w:line="440" w:lineRule="exact"/>
        <w:ind w:firstLine="482"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九</w:t>
      </w:r>
      <w:r>
        <w:rPr>
          <w:rFonts w:hint="eastAsia" w:asciiTheme="minorEastAsia" w:hAnsiTheme="minorEastAsia" w:eastAsiaTheme="minorEastAsia"/>
          <w:bCs/>
          <w:sz w:val="24"/>
          <w:szCs w:val="24"/>
          <w:highlight w:val="none"/>
        </w:rPr>
        <w:t>、实质性要求</w:t>
      </w:r>
    </w:p>
    <w:p w14:paraId="3080692E">
      <w:pPr>
        <w:pStyle w:val="178"/>
        <w:spacing w:before="120" w:after="120" w:line="440" w:lineRule="exact"/>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本章有关服务与商务条款的要求为基准要求，如投标人不能完全符合此基准要求，可高于此基准要求进行投标，采购人将不接受低于该基准要求（负偏离）的投标，投标人需对此基准要求作实质性响应。</w:t>
      </w:r>
    </w:p>
    <w:p w14:paraId="65C274D0">
      <w:pPr>
        <w:keepNext w:val="0"/>
        <w:keepLines w:val="0"/>
        <w:widowControl w:val="0"/>
        <w:suppressLineNumbers w:val="0"/>
        <w:spacing w:before="0" w:beforeAutospacing="0" w:after="0" w:afterAutospacing="0" w:line="360" w:lineRule="auto"/>
        <w:ind w:left="0" w:right="0" w:firstLine="420" w:firstLineChars="200"/>
        <w:jc w:val="both"/>
        <w:rPr>
          <w:highlight w:val="none"/>
        </w:rPr>
      </w:pPr>
    </w:p>
    <w:p w14:paraId="34D9DC0D">
      <w:pPr>
        <w:keepNext w:val="0"/>
        <w:keepLines w:val="0"/>
        <w:widowControl w:val="0"/>
        <w:suppressLineNumbers w:val="0"/>
        <w:spacing w:before="0" w:beforeAutospacing="0" w:after="0" w:afterAutospacing="0" w:line="360" w:lineRule="auto"/>
        <w:ind w:left="0" w:right="0" w:firstLine="420" w:firstLineChars="200"/>
        <w:jc w:val="both"/>
        <w:rPr>
          <w:highlight w:val="none"/>
        </w:rPr>
      </w:pPr>
    </w:p>
    <w:p w14:paraId="7B126CE4">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4AC1B619">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9D4A623">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7EA5250F">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1186B114">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0F32FF0C">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E880A2D">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502E915B">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7C1C47AA">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2CE8F6BC">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BFAF437">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537E5108">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bookmarkEnd w:id="69"/>
    <w:bookmarkEnd w:id="70"/>
    <w:bookmarkEnd w:id="71"/>
    <w:bookmarkEnd w:id="72"/>
    <w:bookmarkEnd w:id="73"/>
    <w:p w14:paraId="519958DA">
      <w:pPr>
        <w:numPr>
          <w:ilvl w:val="0"/>
          <w:numId w:val="13"/>
        </w:numPr>
        <w:ind w:firstLine="480"/>
        <w:jc w:val="center"/>
        <w:outlineLvl w:val="0"/>
        <w:rPr>
          <w:rFonts w:ascii="黑体" w:hAnsi="黑体" w:eastAsia="黑体"/>
          <w:sz w:val="28"/>
          <w:highlight w:val="none"/>
        </w:rPr>
      </w:pPr>
      <w:bookmarkStart w:id="76" w:name="_Toc109652655"/>
      <w:bookmarkStart w:id="77" w:name="_Toc109652607"/>
      <w:bookmarkStart w:id="78" w:name="_Toc109650251"/>
      <w:r>
        <w:rPr>
          <w:rFonts w:hint="eastAsia" w:ascii="黑体" w:hAnsi="黑体" w:eastAsia="黑体"/>
          <w:sz w:val="28"/>
          <w:highlight w:val="none"/>
        </w:rPr>
        <w:t>采购合同（格式）</w:t>
      </w:r>
    </w:p>
    <w:p w14:paraId="5667A60E">
      <w:pPr>
        <w:ind w:firstLine="420" w:firstLineChars="200"/>
        <w:rPr>
          <w:rFonts w:ascii="宋体"/>
          <w:highlight w:val="none"/>
        </w:rPr>
      </w:pPr>
    </w:p>
    <w:p w14:paraId="45DCB489">
      <w:pPr>
        <w:pStyle w:val="144"/>
        <w:ind w:firstLine="0"/>
        <w:jc w:val="center"/>
        <w:rPr>
          <w:rFonts w:hAnsi="宋体" w:cs="宋体"/>
          <w:b/>
          <w:szCs w:val="24"/>
          <w:highlight w:val="none"/>
        </w:rPr>
      </w:pPr>
      <w:r>
        <w:rPr>
          <w:rFonts w:hint="eastAsia" w:hAnsi="宋体" w:cs="宋体"/>
          <w:b/>
          <w:szCs w:val="24"/>
          <w:highlight w:val="none"/>
        </w:rPr>
        <w:t>第一部分 合同书</w:t>
      </w:r>
    </w:p>
    <w:p w14:paraId="5A71AA7A">
      <w:pPr>
        <w:pStyle w:val="144"/>
        <w:ind w:firstLine="0"/>
        <w:rPr>
          <w:rFonts w:hAnsi="宋体" w:cs="宋体"/>
          <w:szCs w:val="24"/>
          <w:highlight w:val="none"/>
        </w:rPr>
      </w:pPr>
    </w:p>
    <w:p w14:paraId="5B44C0A8">
      <w:pPr>
        <w:pStyle w:val="144"/>
        <w:ind w:firstLine="0"/>
        <w:rPr>
          <w:rFonts w:hAnsi="宋体" w:cs="宋体"/>
          <w:szCs w:val="24"/>
          <w:highlight w:val="none"/>
        </w:rPr>
      </w:pPr>
    </w:p>
    <w:p w14:paraId="6B216B3D">
      <w:pPr>
        <w:spacing w:line="22" w:lineRule="atLeast"/>
        <w:rPr>
          <w:rFonts w:ascii="宋体" w:hAnsi="宋体" w:cs="宋体"/>
          <w:sz w:val="24"/>
          <w:highlight w:val="none"/>
        </w:rPr>
      </w:pPr>
    </w:p>
    <w:p w14:paraId="63207978">
      <w:pPr>
        <w:spacing w:line="600" w:lineRule="auto"/>
        <w:ind w:firstLine="720" w:firstLineChars="3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太湖内源污染治理（太湖西岸宜兴近岸区域）2025-2026年度工程固化土及余水第三方检测服务</w:t>
      </w:r>
      <w:r>
        <w:rPr>
          <w:rFonts w:hint="eastAsia" w:ascii="宋体" w:hAnsi="宋体" w:cs="宋体"/>
          <w:sz w:val="24"/>
          <w:highlight w:val="none"/>
          <w:u w:val="single"/>
        </w:rPr>
        <w:t xml:space="preserve"> </w:t>
      </w:r>
    </w:p>
    <w:p w14:paraId="0563CCD6">
      <w:pPr>
        <w:pStyle w:val="151"/>
        <w:spacing w:line="600" w:lineRule="auto"/>
        <w:ind w:firstLine="720" w:firstLineChars="300"/>
        <w:rPr>
          <w:rFonts w:ascii="宋体" w:hAnsi="宋体" w:cs="宋体"/>
          <w:highlight w:val="none"/>
        </w:rPr>
      </w:pPr>
      <w:r>
        <w:rPr>
          <w:rFonts w:hint="eastAsia" w:ascii="宋体" w:hAnsi="宋体" w:eastAsia="宋体" w:cs="宋体"/>
          <w:bCs/>
          <w:highlight w:val="none"/>
        </w:rPr>
        <w:t>项目编号：</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w:t>
      </w:r>
    </w:p>
    <w:p w14:paraId="5F47413D">
      <w:pPr>
        <w:spacing w:line="600" w:lineRule="auto"/>
        <w:ind w:firstLine="720" w:firstLineChars="300"/>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1FD2CC5E">
      <w:pPr>
        <w:spacing w:line="600" w:lineRule="auto"/>
        <w:ind w:firstLine="720" w:firstLineChars="300"/>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7493A2E4">
      <w:pPr>
        <w:spacing w:line="600" w:lineRule="auto"/>
        <w:ind w:firstLine="720" w:firstLineChars="3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3A0467E1">
      <w:pPr>
        <w:spacing w:line="600" w:lineRule="auto"/>
        <w:ind w:firstLine="720" w:firstLineChars="300"/>
        <w:rPr>
          <w:rFonts w:ascii="宋体" w:hAnsi="宋体" w:cs="宋体"/>
          <w:sz w:val="24"/>
          <w:highlight w:val="non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8BF2AEE">
      <w:pPr>
        <w:spacing w:line="560" w:lineRule="exact"/>
        <w:ind w:firstLine="480" w:firstLineChars="200"/>
        <w:rPr>
          <w:rFonts w:ascii="宋体" w:hAnsi="宋体" w:cs="宋体"/>
          <w:sz w:val="24"/>
          <w:highlight w:val="none"/>
        </w:rPr>
      </w:pPr>
    </w:p>
    <w:p w14:paraId="35E8E59D">
      <w:pPr>
        <w:spacing w:line="560" w:lineRule="exact"/>
        <w:ind w:firstLine="480" w:firstLineChars="200"/>
        <w:rPr>
          <w:rFonts w:ascii="宋体" w:hAnsi="宋体" w:cs="宋体"/>
          <w:sz w:val="24"/>
          <w:highlight w:val="none"/>
        </w:rPr>
      </w:pPr>
    </w:p>
    <w:p w14:paraId="2DD09D19">
      <w:pPr>
        <w:spacing w:line="560" w:lineRule="exact"/>
        <w:ind w:firstLine="480" w:firstLineChars="200"/>
        <w:rPr>
          <w:rFonts w:ascii="宋体" w:hAnsi="宋体" w:cs="宋体"/>
          <w:sz w:val="24"/>
          <w:highlight w:val="none"/>
        </w:rPr>
      </w:pPr>
    </w:p>
    <w:p w14:paraId="6E21AE4C">
      <w:pPr>
        <w:spacing w:line="560" w:lineRule="exact"/>
        <w:ind w:firstLine="480" w:firstLineChars="200"/>
        <w:rPr>
          <w:rFonts w:ascii="宋体" w:hAnsi="宋体" w:cs="宋体"/>
          <w:sz w:val="24"/>
          <w:highlight w:val="none"/>
        </w:rPr>
      </w:pPr>
    </w:p>
    <w:p w14:paraId="32D64D5D">
      <w:pPr>
        <w:spacing w:line="560" w:lineRule="exact"/>
        <w:ind w:firstLine="480" w:firstLineChars="200"/>
        <w:rPr>
          <w:rFonts w:ascii="宋体" w:hAnsi="宋体" w:cs="宋体"/>
          <w:sz w:val="24"/>
          <w:highlight w:val="none"/>
        </w:rPr>
      </w:pPr>
    </w:p>
    <w:p w14:paraId="61C79DAA">
      <w:pPr>
        <w:spacing w:line="560" w:lineRule="exact"/>
        <w:ind w:firstLine="480" w:firstLineChars="200"/>
        <w:rPr>
          <w:rFonts w:ascii="宋体" w:hAnsi="宋体" w:cs="宋体"/>
          <w:sz w:val="24"/>
          <w:highlight w:val="none"/>
        </w:rPr>
      </w:pPr>
    </w:p>
    <w:p w14:paraId="746E545D">
      <w:pPr>
        <w:spacing w:line="560" w:lineRule="exact"/>
        <w:ind w:firstLine="480" w:firstLineChars="200"/>
        <w:rPr>
          <w:rFonts w:ascii="宋体" w:hAnsi="宋体" w:cs="宋体"/>
          <w:sz w:val="24"/>
          <w:highlight w:val="none"/>
        </w:rPr>
      </w:pPr>
    </w:p>
    <w:p w14:paraId="07764B9C">
      <w:pPr>
        <w:spacing w:line="560" w:lineRule="exact"/>
        <w:rPr>
          <w:rFonts w:ascii="宋体" w:hAnsi="宋体" w:cs="宋体"/>
          <w:sz w:val="24"/>
          <w:highlight w:val="none"/>
        </w:rPr>
      </w:pPr>
    </w:p>
    <w:p w14:paraId="60EBC71F">
      <w:pPr>
        <w:pStyle w:val="18"/>
        <w:ind w:left="1260"/>
        <w:rPr>
          <w:highlight w:val="none"/>
        </w:rPr>
      </w:pPr>
    </w:p>
    <w:p w14:paraId="4A3B04E4">
      <w:pPr>
        <w:spacing w:line="560" w:lineRule="exact"/>
        <w:ind w:firstLine="480" w:firstLineChars="200"/>
        <w:rPr>
          <w:rFonts w:ascii="宋体" w:hAnsi="宋体" w:cs="宋体"/>
          <w:sz w:val="24"/>
          <w:highlight w:val="none"/>
        </w:rPr>
      </w:pPr>
    </w:p>
    <w:p w14:paraId="748CC62A">
      <w:pPr>
        <w:spacing w:line="560" w:lineRule="exact"/>
        <w:ind w:firstLine="480" w:firstLineChars="200"/>
        <w:rPr>
          <w:rFonts w:ascii="宋体" w:hAnsi="宋体" w:cs="宋体"/>
          <w:sz w:val="24"/>
          <w:highlight w:val="none"/>
        </w:rPr>
      </w:pPr>
    </w:p>
    <w:p w14:paraId="30EA6437">
      <w:pPr>
        <w:spacing w:line="560" w:lineRule="exact"/>
        <w:ind w:firstLine="480" w:firstLineChars="200"/>
        <w:rPr>
          <w:rFonts w:ascii="宋体" w:hAnsi="宋体" w:cs="宋体"/>
          <w:sz w:val="24"/>
          <w:highlight w:val="none"/>
        </w:rPr>
      </w:pPr>
    </w:p>
    <w:p w14:paraId="5AC4F09B">
      <w:pPr>
        <w:spacing w:line="560" w:lineRule="exact"/>
        <w:ind w:firstLine="480" w:firstLineChars="200"/>
        <w:rPr>
          <w:rFonts w:ascii="宋体" w:hAnsi="宋体" w:cs="宋体"/>
          <w:sz w:val="24"/>
          <w:highlight w:val="none"/>
        </w:rPr>
      </w:pPr>
    </w:p>
    <w:p w14:paraId="0EFB42A0">
      <w:pPr>
        <w:spacing w:line="400" w:lineRule="exact"/>
        <w:rPr>
          <w:rFonts w:hint="eastAsia" w:ascii="宋体" w:hAnsi="宋体" w:cs="宋体"/>
          <w:bCs/>
          <w:sz w:val="24"/>
          <w:szCs w:val="24"/>
          <w:highlight w:val="none"/>
        </w:rPr>
      </w:pPr>
    </w:p>
    <w:p w14:paraId="0F6ED079">
      <w:pPr>
        <w:spacing w:line="400" w:lineRule="exact"/>
        <w:rPr>
          <w:rFonts w:hint="eastAsia" w:ascii="宋体" w:hAnsi="宋体" w:cs="宋体"/>
          <w:bCs/>
          <w:sz w:val="24"/>
          <w:szCs w:val="24"/>
          <w:highlight w:val="none"/>
        </w:rPr>
      </w:pPr>
    </w:p>
    <w:p w14:paraId="342E8865">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发包人（全称）：</w:t>
      </w:r>
      <w:r>
        <w:rPr>
          <w:rFonts w:hint="eastAsia" w:ascii="宋体" w:hAnsi="宋体" w:cs="宋体"/>
          <w:bCs/>
          <w:sz w:val="24"/>
          <w:szCs w:val="24"/>
          <w:highlight w:val="none"/>
          <w:u w:val="single"/>
        </w:rPr>
        <w:t>江苏宜公投蓝藻资源开发有限公司</w:t>
      </w:r>
    </w:p>
    <w:p w14:paraId="1B0ACFC9">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受托人（全称）：</w:t>
      </w:r>
      <w:r>
        <w:rPr>
          <w:rFonts w:hint="eastAsia" w:ascii="宋体" w:hAnsi="宋体" w:cs="宋体"/>
          <w:bCs/>
          <w:sz w:val="24"/>
          <w:szCs w:val="24"/>
          <w:highlight w:val="none"/>
          <w:u w:val="single"/>
        </w:rPr>
        <w:t xml:space="preserve">                            </w:t>
      </w:r>
    </w:p>
    <w:p w14:paraId="11FC7AE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rPr>
        <w:t>以</w:t>
      </w:r>
      <w:r>
        <w:rPr>
          <w:rFonts w:hint="eastAsia" w:ascii="宋体" w:hAnsi="宋体" w:cs="宋体"/>
          <w:sz w:val="24"/>
          <w:szCs w:val="24"/>
          <w:highlight w:val="none"/>
          <w:u w:val="single"/>
        </w:rPr>
        <w:t xml:space="preserve"> 公开招标方式 </w:t>
      </w:r>
      <w:r>
        <w:rPr>
          <w:rFonts w:hint="eastAsia" w:ascii="宋体" w:hAnsi="宋体" w:cs="宋体"/>
          <w:sz w:val="24"/>
          <w:szCs w:val="24"/>
          <w:highlight w:val="none"/>
        </w:rPr>
        <w:t>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太湖内源污染治理（太湖西岸宜兴近岸区域）2025-2026年度工程固化土及余水第三方检测服务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进行了采购。经评标委员会评审，确定 </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为该项目中标供应商。现于中标通知书发出之日起三十日内，按照采购文件确定的事项签订本合同。</w:t>
      </w:r>
    </w:p>
    <w:p w14:paraId="350F66AC">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zh-CN"/>
        </w:rPr>
        <w:t>根据《中华人民共和国民法典》等相关法律法规之规定，按照平等、自愿、公平和诚实信用的原则，经</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lang w:val="zh-CN"/>
        </w:rPr>
        <w:t>(以下简称：甲方)和</w:t>
      </w:r>
      <w:r>
        <w:rPr>
          <w:rFonts w:hint="eastAsia" w:ascii="宋体" w:hAnsi="宋体" w:cs="宋体"/>
          <w:sz w:val="24"/>
          <w:szCs w:val="24"/>
          <w:highlight w:val="none"/>
          <w:u w:val="single"/>
        </w:rPr>
        <w:t xml:space="preserve"> （中标供应商名称）</w:t>
      </w:r>
      <w:r>
        <w:rPr>
          <w:rFonts w:hint="eastAsia" w:ascii="宋体" w:hAnsi="宋体" w:cs="宋体"/>
          <w:sz w:val="24"/>
          <w:szCs w:val="24"/>
          <w:highlight w:val="none"/>
          <w:lang w:val="zh-CN"/>
        </w:rPr>
        <w:t>(以下简称：乙方)协商一致，约定以下合同</w:t>
      </w:r>
      <w:r>
        <w:rPr>
          <w:rFonts w:hint="eastAsia" w:ascii="宋体" w:hAnsi="宋体" w:cs="宋体"/>
          <w:sz w:val="24"/>
          <w:szCs w:val="24"/>
          <w:highlight w:val="none"/>
        </w:rPr>
        <w:t>条款，以兹共同遵守、全面履行。</w:t>
      </w:r>
    </w:p>
    <w:p w14:paraId="0B9B5530">
      <w:pPr>
        <w:spacing w:line="560" w:lineRule="exact"/>
        <w:ind w:firstLine="482" w:firstLineChars="200"/>
        <w:rPr>
          <w:rFonts w:ascii="宋体" w:hAnsi="宋体" w:cs="宋体"/>
          <w:sz w:val="24"/>
          <w:szCs w:val="24"/>
          <w:highlight w:val="none"/>
        </w:rPr>
      </w:pPr>
      <w:bookmarkStart w:id="79" w:name="_Toc15367"/>
      <w:bookmarkStart w:id="80" w:name="_Toc20421"/>
      <w:bookmarkStart w:id="81" w:name="_Toc22967"/>
      <w:bookmarkStart w:id="82" w:name="_Toc28855"/>
      <w:bookmarkStart w:id="83" w:name="_Toc19273"/>
      <w:r>
        <w:rPr>
          <w:rFonts w:hint="eastAsia" w:ascii="宋体" w:hAnsi="宋体" w:cs="宋体"/>
          <w:b/>
          <w:sz w:val="24"/>
          <w:szCs w:val="24"/>
          <w:highlight w:val="none"/>
        </w:rPr>
        <w:t>1.1 合同组成部分</w:t>
      </w:r>
      <w:bookmarkEnd w:id="79"/>
      <w:bookmarkEnd w:id="80"/>
      <w:bookmarkEnd w:id="81"/>
      <w:bookmarkEnd w:id="82"/>
      <w:bookmarkEnd w:id="83"/>
    </w:p>
    <w:p w14:paraId="3BB1B61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F4EB6E">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1.1.1 本合同及其补充合同、变更协议；</w:t>
      </w:r>
    </w:p>
    <w:p w14:paraId="4594676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1.1.2 中标通知书；</w:t>
      </w:r>
    </w:p>
    <w:p w14:paraId="0277F885">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1.1.3 投标文件（含澄清或者说明文件）；</w:t>
      </w:r>
    </w:p>
    <w:p w14:paraId="30AD92A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1.1.4 采购文件（含澄清或者修改文件）；</w:t>
      </w:r>
    </w:p>
    <w:p w14:paraId="31B048B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1.1.5 其他相关采购文件。</w:t>
      </w:r>
    </w:p>
    <w:p w14:paraId="69E35303">
      <w:pPr>
        <w:spacing w:line="560" w:lineRule="exact"/>
        <w:ind w:firstLine="482" w:firstLineChars="200"/>
        <w:rPr>
          <w:rFonts w:ascii="宋体" w:hAnsi="宋体" w:cs="宋体"/>
          <w:b/>
          <w:sz w:val="24"/>
          <w:szCs w:val="24"/>
          <w:highlight w:val="none"/>
        </w:rPr>
      </w:pPr>
      <w:bookmarkStart w:id="84" w:name="_Toc22185"/>
      <w:bookmarkStart w:id="85" w:name="_Toc6773"/>
      <w:bookmarkStart w:id="86" w:name="_Toc6311"/>
      <w:bookmarkStart w:id="87" w:name="_Toc18585"/>
      <w:bookmarkStart w:id="88" w:name="_Toc2918"/>
      <w:r>
        <w:rPr>
          <w:rFonts w:hint="eastAsia" w:ascii="宋体" w:hAnsi="宋体" w:cs="宋体"/>
          <w:b/>
          <w:sz w:val="24"/>
          <w:szCs w:val="24"/>
          <w:highlight w:val="none"/>
        </w:rPr>
        <w:t>1.2 标的</w:t>
      </w:r>
      <w:bookmarkEnd w:id="84"/>
      <w:bookmarkEnd w:id="85"/>
      <w:bookmarkEnd w:id="86"/>
      <w:bookmarkEnd w:id="87"/>
      <w:bookmarkEnd w:id="88"/>
    </w:p>
    <w:p w14:paraId="769FEED2">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1.2.1 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6F23E1C">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1.2.2 项目数量：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310603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项目质量：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9ABF4B0">
      <w:pPr>
        <w:spacing w:line="560" w:lineRule="exact"/>
        <w:ind w:firstLine="482" w:firstLineChars="200"/>
        <w:rPr>
          <w:rFonts w:ascii="宋体" w:hAnsi="宋体" w:cs="宋体"/>
          <w:b/>
          <w:sz w:val="24"/>
          <w:szCs w:val="24"/>
          <w:highlight w:val="none"/>
        </w:rPr>
      </w:pPr>
      <w:bookmarkStart w:id="89" w:name="_Toc13918"/>
      <w:bookmarkStart w:id="90" w:name="_Toc4929"/>
      <w:bookmarkStart w:id="91" w:name="_Toc5635"/>
      <w:bookmarkStart w:id="92" w:name="_Toc1386"/>
      <w:bookmarkStart w:id="93" w:name="_Toc21124"/>
      <w:r>
        <w:rPr>
          <w:rFonts w:hint="eastAsia" w:ascii="宋体" w:hAnsi="宋体" w:cs="宋体"/>
          <w:b/>
          <w:sz w:val="24"/>
          <w:szCs w:val="24"/>
          <w:highlight w:val="none"/>
        </w:rPr>
        <w:t>1.3 价款</w:t>
      </w:r>
      <w:bookmarkEnd w:id="89"/>
      <w:bookmarkEnd w:id="90"/>
      <w:bookmarkEnd w:id="91"/>
      <w:bookmarkEnd w:id="92"/>
      <w:bookmarkEnd w:id="93"/>
    </w:p>
    <w:p w14:paraId="6AB8774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14:paraId="63CD1294">
      <w:pPr>
        <w:spacing w:line="560" w:lineRule="exact"/>
        <w:ind w:firstLine="482" w:firstLineChars="200"/>
        <w:rPr>
          <w:rFonts w:ascii="宋体" w:hAnsi="宋体" w:cs="宋体"/>
          <w:b/>
          <w:sz w:val="24"/>
          <w:szCs w:val="24"/>
          <w:highlight w:val="none"/>
        </w:rPr>
      </w:pPr>
      <w:bookmarkStart w:id="94" w:name="_Toc14993"/>
      <w:bookmarkStart w:id="95" w:name="_Toc3654"/>
      <w:bookmarkStart w:id="96" w:name="_Toc30158"/>
      <w:bookmarkStart w:id="97" w:name="_Toc26916"/>
      <w:bookmarkStart w:id="98" w:name="_Toc30506"/>
      <w:r>
        <w:rPr>
          <w:rFonts w:hint="eastAsia" w:ascii="宋体" w:hAnsi="宋体" w:cs="宋体"/>
          <w:b/>
          <w:sz w:val="24"/>
          <w:szCs w:val="24"/>
          <w:highlight w:val="none"/>
        </w:rPr>
        <w:t>1.4 付款方式和发票开具方式</w:t>
      </w:r>
      <w:bookmarkEnd w:id="94"/>
      <w:bookmarkEnd w:id="95"/>
      <w:bookmarkEnd w:id="96"/>
      <w:bookmarkEnd w:id="97"/>
      <w:bookmarkEnd w:id="98"/>
    </w:p>
    <w:p w14:paraId="65C5EBD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1.4.1付款方式：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391F7C9">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发票开具方式：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D44EC42">
      <w:pPr>
        <w:spacing w:line="560" w:lineRule="exact"/>
        <w:ind w:firstLine="482" w:firstLineChars="200"/>
        <w:rPr>
          <w:rFonts w:ascii="宋体" w:hAnsi="宋体" w:cs="宋体"/>
          <w:b/>
          <w:sz w:val="24"/>
          <w:szCs w:val="24"/>
          <w:highlight w:val="none"/>
        </w:rPr>
      </w:pPr>
      <w:bookmarkStart w:id="99" w:name="_Toc4760"/>
      <w:bookmarkStart w:id="100" w:name="_Toc8772"/>
      <w:bookmarkStart w:id="101" w:name="_Toc31421"/>
      <w:bookmarkStart w:id="102" w:name="_Toc11108"/>
      <w:bookmarkStart w:id="103" w:name="_Toc3625"/>
      <w:r>
        <w:rPr>
          <w:rFonts w:hint="eastAsia" w:ascii="宋体" w:hAnsi="宋体" w:cs="宋体"/>
          <w:b/>
          <w:sz w:val="24"/>
          <w:szCs w:val="24"/>
          <w:highlight w:val="none"/>
        </w:rPr>
        <w:t>1.5 履行期限、地点和方式</w:t>
      </w:r>
      <w:bookmarkEnd w:id="99"/>
      <w:bookmarkEnd w:id="100"/>
      <w:bookmarkEnd w:id="101"/>
      <w:bookmarkEnd w:id="102"/>
      <w:bookmarkEnd w:id="103"/>
    </w:p>
    <w:p w14:paraId="07A88FA8">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1.5.1 履行期限：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70487F6">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履行地点：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93BAF2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1.5.3 履行方式：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B4C0D0B">
      <w:pPr>
        <w:snapToGrid w:val="0"/>
        <w:spacing w:line="360" w:lineRule="auto"/>
        <w:ind w:firstLine="420"/>
        <w:rPr>
          <w:rFonts w:ascii="宋体" w:hAnsi="宋体" w:cs="宋体"/>
          <w:b/>
          <w:bCs/>
          <w:sz w:val="24"/>
          <w:szCs w:val="24"/>
          <w:highlight w:val="none"/>
        </w:rPr>
      </w:pPr>
      <w:r>
        <w:rPr>
          <w:rFonts w:hint="eastAsia" w:ascii="宋体" w:hAnsi="宋体" w:cs="宋体"/>
          <w:b/>
          <w:bCs/>
          <w:sz w:val="24"/>
          <w:szCs w:val="24"/>
          <w:highlight w:val="none"/>
        </w:rPr>
        <w:t>1.6乙方进行的内容、要求和成果交付：</w:t>
      </w:r>
    </w:p>
    <w:p w14:paraId="309D0F58">
      <w:pPr>
        <w:spacing w:line="520" w:lineRule="exact"/>
        <w:ind w:firstLine="420"/>
        <w:contextualSpacing/>
        <w:rPr>
          <w:highlight w:val="none"/>
        </w:rPr>
      </w:pPr>
      <w:r>
        <w:rPr>
          <w:rFonts w:hint="eastAsia" w:ascii="宋体" w:hAnsi="宋体" w:cs="宋体"/>
          <w:sz w:val="24"/>
          <w:szCs w:val="24"/>
          <w:highlight w:val="none"/>
        </w:rPr>
        <w:t>1.6.1服务内容</w:t>
      </w:r>
    </w:p>
    <w:p w14:paraId="21B34E32">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val="en-US" w:eastAsia="zh-CN"/>
        </w:rPr>
        <w:t>根据江苏宜公投蓝藻资源开发有限公司相关要求，对</w:t>
      </w: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w:t>
      </w:r>
      <w:r>
        <w:rPr>
          <w:rFonts w:hint="eastAsia" w:asciiTheme="majorEastAsia" w:hAnsiTheme="majorEastAsia" w:eastAsiaTheme="majorEastAsia" w:cstheme="majorEastAsia"/>
          <w:b w:val="0"/>
          <w:bCs w:val="0"/>
          <w:sz w:val="24"/>
          <w:szCs w:val="24"/>
          <w:highlight w:val="none"/>
          <w:lang w:val="en-US" w:eastAsia="zh-CN"/>
        </w:rPr>
        <w:t>进行</w:t>
      </w:r>
      <w:r>
        <w:rPr>
          <w:rFonts w:hint="eastAsia" w:asciiTheme="majorEastAsia" w:hAnsiTheme="majorEastAsia" w:eastAsiaTheme="majorEastAsia" w:cstheme="majorEastAsia"/>
          <w:b w:val="0"/>
          <w:bCs w:val="0"/>
          <w:sz w:val="24"/>
          <w:szCs w:val="24"/>
          <w:highlight w:val="none"/>
        </w:rPr>
        <w:t>检测服务</w:t>
      </w:r>
      <w:r>
        <w:rPr>
          <w:rFonts w:hint="eastAsia" w:asciiTheme="majorEastAsia" w:hAnsiTheme="majorEastAsia" w:eastAsiaTheme="majorEastAsia" w:cstheme="majorEastAsia"/>
          <w:b w:val="0"/>
          <w:bCs w:val="0"/>
          <w:sz w:val="24"/>
          <w:szCs w:val="24"/>
          <w:highlight w:val="none"/>
          <w:lang w:eastAsia="zh-CN"/>
        </w:rPr>
        <w:t>。</w:t>
      </w:r>
    </w:p>
    <w:p w14:paraId="6706B0C2">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cs="宋体"/>
          <w:b w:val="0"/>
          <w:bCs/>
          <w:sz w:val="24"/>
          <w:szCs w:val="24"/>
          <w:highlight w:val="none"/>
        </w:rPr>
      </w:pPr>
      <w:r>
        <w:rPr>
          <w:rFonts w:hint="eastAsia" w:cs="宋体"/>
          <w:b w:val="0"/>
          <w:bCs/>
          <w:sz w:val="24"/>
          <w:szCs w:val="24"/>
          <w:highlight w:val="none"/>
        </w:rPr>
        <w:t>具体详见招标文件第</w:t>
      </w:r>
      <w:r>
        <w:rPr>
          <w:rFonts w:hint="eastAsia" w:cs="宋体"/>
          <w:b w:val="0"/>
          <w:bCs/>
          <w:sz w:val="24"/>
          <w:szCs w:val="24"/>
          <w:highlight w:val="none"/>
          <w:lang w:val="en-US" w:eastAsia="zh-CN"/>
        </w:rPr>
        <w:t>三</w:t>
      </w:r>
      <w:r>
        <w:rPr>
          <w:rFonts w:hint="eastAsia" w:cs="宋体"/>
          <w:b w:val="0"/>
          <w:bCs/>
          <w:sz w:val="24"/>
          <w:szCs w:val="24"/>
          <w:highlight w:val="none"/>
        </w:rPr>
        <w:t>章。</w:t>
      </w:r>
      <w:bookmarkStart w:id="104" w:name="_Toc24662"/>
      <w:bookmarkStart w:id="105" w:name="_Toc8586"/>
      <w:bookmarkStart w:id="106" w:name="_Toc3079"/>
      <w:bookmarkStart w:id="107" w:name="_Toc2375"/>
      <w:bookmarkStart w:id="108" w:name="_Toc5698"/>
    </w:p>
    <w:p w14:paraId="4DF0CDA7">
      <w:pPr>
        <w:pStyle w:val="178"/>
        <w:spacing w:before="120" w:after="120" w:line="520" w:lineRule="exact"/>
        <w:ind w:firstLine="482" w:firstLineChars="200"/>
        <w:rPr>
          <w:rFonts w:cs="宋体"/>
          <w:sz w:val="24"/>
          <w:szCs w:val="24"/>
          <w:highlight w:val="none"/>
          <w:u w:val="single"/>
        </w:rPr>
      </w:pPr>
      <w:r>
        <w:rPr>
          <w:rFonts w:hint="eastAsia" w:cs="宋体"/>
          <w:sz w:val="24"/>
          <w:szCs w:val="24"/>
          <w:highlight w:val="none"/>
        </w:rPr>
        <w:t>1.7 违约责任</w:t>
      </w:r>
      <w:bookmarkEnd w:id="104"/>
      <w:bookmarkEnd w:id="105"/>
      <w:bookmarkEnd w:id="106"/>
      <w:bookmarkEnd w:id="107"/>
      <w:bookmarkEnd w:id="108"/>
    </w:p>
    <w:p w14:paraId="2BE6DAD0">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1.7.1 除不可抗力外，如果乙方没有按照本合同约定的期限、地点和方式履行，那么甲方可要求乙方支付违约金，违约金乙方按合同总价的千分之五/天支付违约金给甲方，最高为合同价30%；迟延履行的违约金计算数额达到前述最高限额之日起，甲方有权在要求乙方支付违约金的同时，书面通知乙方解除本合同；</w:t>
      </w:r>
    </w:p>
    <w:p w14:paraId="1C19581C">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54778FE">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1E3C57">
      <w:pPr>
        <w:spacing w:line="520" w:lineRule="exact"/>
        <w:ind w:firstLine="480" w:firstLineChars="200"/>
        <w:contextualSpacing/>
        <w:rPr>
          <w:rFonts w:ascii="宋体" w:hAnsi="宋体" w:cs="宋体"/>
          <w:sz w:val="24"/>
          <w:szCs w:val="24"/>
          <w:highlight w:val="none"/>
        </w:rPr>
      </w:pPr>
      <w:r>
        <w:rPr>
          <w:rFonts w:hint="eastAsia" w:ascii="宋体" w:hAnsi="宋体" w:cs="宋体"/>
          <w:bCs/>
          <w:sz w:val="24"/>
          <w:szCs w:val="24"/>
          <w:highlight w:val="none"/>
        </w:rPr>
        <w:t xml:space="preserve">1.7.4 </w:t>
      </w:r>
      <w:r>
        <w:rPr>
          <w:rFonts w:hint="eastAsia" w:ascii="宋体" w:hAnsi="宋体" w:cs="宋体"/>
          <w:bCs/>
          <w:sz w:val="24"/>
          <w:szCs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6F1AA744">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15C57AC4">
      <w:pPr>
        <w:spacing w:line="520" w:lineRule="exact"/>
        <w:ind w:firstLine="482" w:firstLineChars="200"/>
        <w:contextualSpacing/>
        <w:rPr>
          <w:rFonts w:ascii="宋体" w:hAnsi="宋体" w:cs="宋体"/>
          <w:b/>
          <w:sz w:val="24"/>
          <w:szCs w:val="24"/>
          <w:highlight w:val="none"/>
        </w:rPr>
      </w:pPr>
      <w:bookmarkStart w:id="109" w:name="_Toc28375"/>
      <w:bookmarkStart w:id="110" w:name="_Toc16021"/>
      <w:bookmarkStart w:id="111" w:name="_Toc15583"/>
      <w:bookmarkStart w:id="112" w:name="_Toc26227"/>
      <w:bookmarkStart w:id="113" w:name="_Toc15827"/>
      <w:bookmarkStart w:id="114" w:name="_Toc16417"/>
      <w:bookmarkStart w:id="115" w:name="_Toc12273"/>
      <w:bookmarkStart w:id="116" w:name="_Toc23784"/>
      <w:r>
        <w:rPr>
          <w:rFonts w:hint="eastAsia" w:ascii="宋体" w:hAnsi="宋体" w:cs="宋体"/>
          <w:b/>
          <w:sz w:val="24"/>
          <w:szCs w:val="24"/>
          <w:highlight w:val="none"/>
        </w:rPr>
        <w:t>1.8 合同争议的解决</w:t>
      </w:r>
      <w:bookmarkEnd w:id="109"/>
      <w:bookmarkEnd w:id="110"/>
      <w:bookmarkEnd w:id="111"/>
    </w:p>
    <w:p w14:paraId="3F900C85">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在履行本合同的过程中发生争议，双方当事人和解或调解不成，可采取仲裁或按司法程序解决，双方同意按照以下第（二）种方式解决：</w:t>
      </w:r>
    </w:p>
    <w:p w14:paraId="685F2E2D">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（一）双方同意由</w:t>
      </w:r>
      <w:r>
        <w:rPr>
          <w:rFonts w:hint="eastAsia" w:ascii="宋体" w:hAnsi="宋体" w:cs="宋体"/>
          <w:sz w:val="24"/>
          <w:szCs w:val="24"/>
          <w:highlight w:val="none"/>
          <w:u w:val="single"/>
        </w:rPr>
        <w:t xml:space="preserve">  宜兴</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仲裁委员会仲裁。</w:t>
      </w:r>
    </w:p>
    <w:p w14:paraId="23BE75A9">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（二）双方约定向甲方项目所在地的人民法院起诉。</w:t>
      </w:r>
    </w:p>
    <w:p w14:paraId="2D2AD3E4">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w:t>
      </w:r>
      <w:r>
        <w:rPr>
          <w:rFonts w:hint="eastAsia" w:ascii="宋体" w:hAnsi="宋体" w:cs="宋体"/>
          <w:b/>
          <w:sz w:val="24"/>
          <w:szCs w:val="24"/>
          <w:highlight w:val="none"/>
        </w:rPr>
        <w:t>其他事项：</w:t>
      </w:r>
    </w:p>
    <w:bookmarkEnd w:id="112"/>
    <w:bookmarkEnd w:id="113"/>
    <w:bookmarkEnd w:id="114"/>
    <w:bookmarkEnd w:id="115"/>
    <w:bookmarkEnd w:id="116"/>
    <w:p w14:paraId="7B359423">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1.9.1本合同未尽事宜，双方可签订补充协议作为附件，补充协议与本合同具有同等效力。</w:t>
      </w:r>
    </w:p>
    <w:p w14:paraId="001337BE">
      <w:pPr>
        <w:spacing w:line="52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1.9.2本合同一式</w:t>
      </w:r>
      <w:r>
        <w:rPr>
          <w:rFonts w:hint="eastAsia" w:ascii="宋体" w:hAnsi="宋体" w:cs="宋体"/>
          <w:sz w:val="24"/>
          <w:szCs w:val="24"/>
          <w:highlight w:val="none"/>
          <w:u w:val="single"/>
        </w:rPr>
        <w:t xml:space="preserve"> 4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份，经双方法人代表（或授权代表）签字或盖章后生效，任何一方不得擅自涂改、变更或解除合同。</w:t>
      </w:r>
    </w:p>
    <w:p w14:paraId="20B1327B">
      <w:pPr>
        <w:spacing w:line="520" w:lineRule="exact"/>
        <w:ind w:firstLine="480" w:firstLineChars="200"/>
        <w:contextualSpacing/>
        <w:rPr>
          <w:rFonts w:hint="eastAsia" w:ascii="宋体" w:hAnsi="宋体" w:cs="宋体"/>
          <w:sz w:val="24"/>
          <w:szCs w:val="24"/>
          <w:highlight w:val="none"/>
        </w:rPr>
      </w:pPr>
    </w:p>
    <w:p w14:paraId="327E830B">
      <w:pPr>
        <w:spacing w:line="520" w:lineRule="exact"/>
        <w:ind w:firstLine="480" w:firstLineChars="200"/>
        <w:contextualSpacing/>
        <w:rPr>
          <w:rFonts w:hint="eastAsia" w:ascii="宋体" w:hAnsi="宋体" w:cs="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41FCB98C">
        <w:tblPrEx>
          <w:tblCellMar>
            <w:top w:w="0" w:type="dxa"/>
            <w:left w:w="0" w:type="dxa"/>
            <w:bottom w:w="0" w:type="dxa"/>
            <w:right w:w="0" w:type="dxa"/>
          </w:tblCellMar>
        </w:tblPrEx>
        <w:trPr>
          <w:trHeight w:val="454" w:hRule="exact"/>
          <w:jc w:val="center"/>
        </w:trPr>
        <w:tc>
          <w:tcPr>
            <w:tcW w:w="5078" w:type="dxa"/>
            <w:vAlign w:val="center"/>
          </w:tcPr>
          <w:p w14:paraId="2B1B7A5C">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bookmarkStart w:id="117" w:name="OLE_LINK46"/>
            <w:r>
              <w:rPr>
                <w:rFonts w:hint="eastAsia" w:ascii="宋体" w:hAnsi="宋体" w:cs="宋体"/>
                <w:kern w:val="0"/>
                <w:sz w:val="24"/>
                <w:szCs w:val="24"/>
                <w:highlight w:val="none"/>
              </w:rPr>
              <w:t>发包</w:t>
            </w:r>
            <w:r>
              <w:rPr>
                <w:rFonts w:hint="eastAsia" w:ascii="宋体" w:hAnsi="宋体" w:cs="宋体"/>
                <w:kern w:val="0"/>
                <w:sz w:val="24"/>
                <w:szCs w:val="24"/>
                <w:highlight w:val="none"/>
                <w:lang w:val="zh-CN"/>
              </w:rPr>
              <w:t>方（采购人）：（盖章）</w:t>
            </w:r>
            <w:bookmarkEnd w:id="117"/>
          </w:p>
        </w:tc>
        <w:tc>
          <w:tcPr>
            <w:tcW w:w="4491" w:type="dxa"/>
            <w:vAlign w:val="center"/>
          </w:tcPr>
          <w:p w14:paraId="5B6AA6AB">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受托</w:t>
            </w:r>
            <w:r>
              <w:rPr>
                <w:rFonts w:hint="eastAsia" w:ascii="宋体" w:hAnsi="宋体" w:cs="宋体"/>
                <w:kern w:val="0"/>
                <w:sz w:val="24"/>
                <w:szCs w:val="24"/>
                <w:highlight w:val="none"/>
              </w:rPr>
              <w:t>方</w:t>
            </w:r>
            <w:r>
              <w:rPr>
                <w:rFonts w:hint="eastAsia" w:ascii="宋体" w:hAnsi="宋体" w:cs="宋体"/>
                <w:kern w:val="0"/>
                <w:sz w:val="24"/>
                <w:szCs w:val="24"/>
                <w:highlight w:val="none"/>
                <w:lang w:val="zh-CN"/>
              </w:rPr>
              <w:t>（供应商）：（盖章）</w:t>
            </w:r>
          </w:p>
        </w:tc>
      </w:tr>
      <w:tr w14:paraId="178347BB">
        <w:tblPrEx>
          <w:tblCellMar>
            <w:top w:w="0" w:type="dxa"/>
            <w:left w:w="0" w:type="dxa"/>
            <w:bottom w:w="0" w:type="dxa"/>
            <w:right w:w="0" w:type="dxa"/>
          </w:tblCellMar>
        </w:tblPrEx>
        <w:trPr>
          <w:trHeight w:val="454" w:hRule="exact"/>
          <w:jc w:val="center"/>
        </w:trPr>
        <w:tc>
          <w:tcPr>
            <w:tcW w:w="5078" w:type="dxa"/>
            <w:vAlign w:val="center"/>
          </w:tcPr>
          <w:p w14:paraId="1EFC8672">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代表人签字：</w:t>
            </w:r>
          </w:p>
        </w:tc>
        <w:tc>
          <w:tcPr>
            <w:tcW w:w="4491" w:type="dxa"/>
            <w:vAlign w:val="center"/>
          </w:tcPr>
          <w:p w14:paraId="09F66A7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代表人签字</w:t>
            </w:r>
            <w:r>
              <w:rPr>
                <w:rFonts w:hint="eastAsia" w:ascii="宋体" w:hAnsi="宋体" w:cs="宋体"/>
                <w:kern w:val="0"/>
                <w:sz w:val="24"/>
                <w:szCs w:val="24"/>
                <w:highlight w:val="none"/>
              </w:rPr>
              <w:t>：</w:t>
            </w:r>
          </w:p>
        </w:tc>
      </w:tr>
      <w:tr w14:paraId="2F792DC1">
        <w:tblPrEx>
          <w:tblCellMar>
            <w:top w:w="0" w:type="dxa"/>
            <w:left w:w="0" w:type="dxa"/>
            <w:bottom w:w="0" w:type="dxa"/>
            <w:right w:w="0" w:type="dxa"/>
          </w:tblCellMar>
        </w:tblPrEx>
        <w:trPr>
          <w:trHeight w:val="454" w:hRule="exact"/>
          <w:jc w:val="center"/>
        </w:trPr>
        <w:tc>
          <w:tcPr>
            <w:tcW w:w="5078" w:type="dxa"/>
            <w:vAlign w:val="center"/>
          </w:tcPr>
          <w:p w14:paraId="23580903">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bookmarkStart w:id="118" w:name="OLE_LINK47"/>
            <w:r>
              <w:rPr>
                <w:rFonts w:hint="eastAsia" w:ascii="宋体" w:hAnsi="宋体" w:cs="宋体"/>
                <w:kern w:val="0"/>
                <w:sz w:val="24"/>
                <w:szCs w:val="24"/>
                <w:highlight w:val="none"/>
                <w:lang w:val="zh-CN"/>
              </w:rPr>
              <w:t>电话：</w:t>
            </w:r>
            <w:bookmarkEnd w:id="118"/>
          </w:p>
        </w:tc>
        <w:tc>
          <w:tcPr>
            <w:tcW w:w="4491" w:type="dxa"/>
            <w:vAlign w:val="center"/>
          </w:tcPr>
          <w:p w14:paraId="0FD51081">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电话：</w:t>
            </w:r>
          </w:p>
        </w:tc>
      </w:tr>
      <w:tr w14:paraId="685226A4">
        <w:tblPrEx>
          <w:tblCellMar>
            <w:top w:w="0" w:type="dxa"/>
            <w:left w:w="0" w:type="dxa"/>
            <w:bottom w:w="0" w:type="dxa"/>
            <w:right w:w="0" w:type="dxa"/>
          </w:tblCellMar>
        </w:tblPrEx>
        <w:trPr>
          <w:trHeight w:val="454" w:hRule="exact"/>
          <w:jc w:val="center"/>
        </w:trPr>
        <w:tc>
          <w:tcPr>
            <w:tcW w:w="5078" w:type="dxa"/>
            <w:vAlign w:val="center"/>
          </w:tcPr>
          <w:p w14:paraId="195751A7">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bookmarkStart w:id="119" w:name="OLE_LINK50"/>
            <w:r>
              <w:rPr>
                <w:rFonts w:hint="eastAsia" w:ascii="宋体" w:hAnsi="宋体" w:cs="宋体"/>
                <w:kern w:val="0"/>
                <w:sz w:val="24"/>
                <w:szCs w:val="24"/>
                <w:highlight w:val="none"/>
                <w:lang w:val="zh-CN"/>
              </w:rPr>
              <w:t>开户银行：</w:t>
            </w:r>
            <w:bookmarkEnd w:id="119"/>
          </w:p>
        </w:tc>
        <w:tc>
          <w:tcPr>
            <w:tcW w:w="4491" w:type="dxa"/>
            <w:vAlign w:val="center"/>
          </w:tcPr>
          <w:p w14:paraId="5D9EA4D0">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开户银行：</w:t>
            </w:r>
          </w:p>
        </w:tc>
      </w:tr>
      <w:tr w14:paraId="5D5CCA78">
        <w:tblPrEx>
          <w:tblCellMar>
            <w:top w:w="0" w:type="dxa"/>
            <w:left w:w="0" w:type="dxa"/>
            <w:bottom w:w="0" w:type="dxa"/>
            <w:right w:w="0" w:type="dxa"/>
          </w:tblCellMar>
        </w:tblPrEx>
        <w:trPr>
          <w:trHeight w:val="454" w:hRule="exact"/>
          <w:jc w:val="center"/>
        </w:trPr>
        <w:tc>
          <w:tcPr>
            <w:tcW w:w="5078" w:type="dxa"/>
            <w:vAlign w:val="center"/>
          </w:tcPr>
          <w:p w14:paraId="517EEE13">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账号：</w:t>
            </w:r>
          </w:p>
        </w:tc>
        <w:tc>
          <w:tcPr>
            <w:tcW w:w="4491" w:type="dxa"/>
            <w:vAlign w:val="center"/>
          </w:tcPr>
          <w:p w14:paraId="335C1A48">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账号：</w:t>
            </w:r>
          </w:p>
          <w:p w14:paraId="2985EF6C">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p>
        </w:tc>
      </w:tr>
      <w:tr w14:paraId="74C79186">
        <w:tblPrEx>
          <w:tblCellMar>
            <w:top w:w="0" w:type="dxa"/>
            <w:left w:w="0" w:type="dxa"/>
            <w:bottom w:w="0" w:type="dxa"/>
            <w:right w:w="0" w:type="dxa"/>
          </w:tblCellMar>
        </w:tblPrEx>
        <w:trPr>
          <w:trHeight w:val="454" w:hRule="exact"/>
          <w:jc w:val="center"/>
        </w:trPr>
        <w:tc>
          <w:tcPr>
            <w:tcW w:w="5078" w:type="dxa"/>
            <w:vAlign w:val="center"/>
          </w:tcPr>
          <w:p w14:paraId="0C5B7CD7">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c>
          <w:tcPr>
            <w:tcW w:w="4491" w:type="dxa"/>
            <w:vAlign w:val="center"/>
          </w:tcPr>
          <w:p w14:paraId="1B89D4AA">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r>
      <w:tr w14:paraId="6315310E">
        <w:tblPrEx>
          <w:tblCellMar>
            <w:top w:w="0" w:type="dxa"/>
            <w:left w:w="0" w:type="dxa"/>
            <w:bottom w:w="0" w:type="dxa"/>
            <w:right w:w="0" w:type="dxa"/>
          </w:tblCellMar>
        </w:tblPrEx>
        <w:trPr>
          <w:trHeight w:val="454" w:hRule="exact"/>
          <w:jc w:val="center"/>
        </w:trPr>
        <w:tc>
          <w:tcPr>
            <w:tcW w:w="5078" w:type="dxa"/>
            <w:vAlign w:val="center"/>
          </w:tcPr>
          <w:p w14:paraId="042C340B">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c>
          <w:tcPr>
            <w:tcW w:w="4491" w:type="dxa"/>
            <w:vAlign w:val="center"/>
          </w:tcPr>
          <w:p w14:paraId="4D15D4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r>
    </w:tbl>
    <w:p w14:paraId="69415BC9">
      <w:pPr>
        <w:autoSpaceDE w:val="0"/>
        <w:autoSpaceDN w:val="0"/>
        <w:adjustRightInd w:val="0"/>
        <w:spacing w:line="560" w:lineRule="exact"/>
        <w:ind w:firstLine="200"/>
        <w:jc w:val="center"/>
        <w:rPr>
          <w:b/>
          <w:sz w:val="24"/>
          <w:szCs w:val="24"/>
          <w:highlight w:val="none"/>
        </w:rPr>
      </w:pPr>
      <w:r>
        <w:rPr>
          <w:rFonts w:eastAsia="黑体"/>
          <w:sz w:val="28"/>
          <w:szCs w:val="22"/>
          <w:highlight w:val="none"/>
        </w:rPr>
        <w:br w:type="page"/>
      </w:r>
      <w:r>
        <w:rPr>
          <w:b/>
          <w:sz w:val="24"/>
          <w:szCs w:val="24"/>
          <w:highlight w:val="none"/>
        </w:rPr>
        <w:t>第二部分 合同一般条款</w:t>
      </w:r>
    </w:p>
    <w:p w14:paraId="266CB60E">
      <w:pPr>
        <w:spacing w:line="560" w:lineRule="exact"/>
        <w:ind w:firstLine="482" w:firstLineChars="200"/>
        <w:rPr>
          <w:b/>
          <w:sz w:val="24"/>
          <w:szCs w:val="24"/>
          <w:highlight w:val="none"/>
        </w:rPr>
      </w:pPr>
      <w:bookmarkStart w:id="120" w:name="_Toc487900349"/>
      <w:bookmarkStart w:id="121" w:name="_Toc31297"/>
      <w:bookmarkStart w:id="122" w:name="_Toc5228"/>
      <w:bookmarkStart w:id="123" w:name="_Toc14021"/>
      <w:bookmarkStart w:id="124" w:name="_Ref467379101"/>
      <w:bookmarkStart w:id="125" w:name="_Toc19680"/>
      <w:bookmarkStart w:id="126" w:name="_Ref467379205"/>
      <w:bookmarkStart w:id="127" w:name="_Toc259093669"/>
      <w:bookmarkStart w:id="128" w:name="_Ref467378463"/>
      <w:bookmarkStart w:id="129" w:name="_Toc25079"/>
      <w:bookmarkStart w:id="130" w:name="_Ref467379214"/>
      <w:bookmarkStart w:id="131" w:name="_Ref467378499"/>
      <w:bookmarkStart w:id="132" w:name="_Toc279701240"/>
      <w:bookmarkStart w:id="133" w:name="_Ref467379094"/>
      <w:bookmarkStart w:id="134" w:name="_Ref467379109"/>
      <w:bookmarkStart w:id="135" w:name="_Ref467379225"/>
      <w:bookmarkStart w:id="136" w:name="_Ref467378404"/>
      <w:bookmarkStart w:id="137" w:name="_Ref467379195"/>
      <w:r>
        <w:rPr>
          <w:b/>
          <w:sz w:val="24"/>
          <w:szCs w:val="24"/>
          <w:highlight w:val="none"/>
        </w:rPr>
        <w:t>2.1 定义</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F41718D">
      <w:pPr>
        <w:spacing w:line="560" w:lineRule="exact"/>
        <w:ind w:firstLine="480" w:firstLineChars="200"/>
        <w:rPr>
          <w:sz w:val="24"/>
          <w:szCs w:val="24"/>
          <w:highlight w:val="none"/>
        </w:rPr>
      </w:pPr>
      <w:r>
        <w:rPr>
          <w:sz w:val="24"/>
          <w:szCs w:val="24"/>
          <w:highlight w:val="none"/>
        </w:rPr>
        <w:t>本合同中的下列词语应按以下内容进行解释：</w:t>
      </w:r>
    </w:p>
    <w:p w14:paraId="7421E608">
      <w:pPr>
        <w:spacing w:line="560" w:lineRule="exact"/>
        <w:ind w:firstLine="480" w:firstLineChars="200"/>
        <w:rPr>
          <w:sz w:val="24"/>
          <w:szCs w:val="24"/>
          <w:highlight w:val="none"/>
        </w:rPr>
      </w:pPr>
      <w:r>
        <w:rPr>
          <w:sz w:val="24"/>
          <w:szCs w:val="24"/>
          <w:highlight w:val="none"/>
        </w:rPr>
        <w:t>2.1.1 “合同”系指采购人和</w:t>
      </w:r>
      <w:r>
        <w:rPr>
          <w:rFonts w:hint="eastAsia"/>
          <w:sz w:val="24"/>
          <w:szCs w:val="24"/>
          <w:highlight w:val="none"/>
        </w:rPr>
        <w:t>中标供应商</w:t>
      </w:r>
      <w:r>
        <w:rPr>
          <w:sz w:val="24"/>
          <w:szCs w:val="24"/>
          <w:highlight w:val="none"/>
        </w:rPr>
        <w:t>签订的载明双方当事人所达成的协议，并包括所有的附件、附录和构成合同的其他文件。</w:t>
      </w:r>
    </w:p>
    <w:p w14:paraId="2CE24E8E">
      <w:pPr>
        <w:spacing w:line="560" w:lineRule="exact"/>
        <w:ind w:firstLine="480" w:firstLineChars="200"/>
        <w:rPr>
          <w:sz w:val="24"/>
          <w:szCs w:val="24"/>
          <w:highlight w:val="none"/>
        </w:rPr>
      </w:pPr>
      <w:r>
        <w:rPr>
          <w:sz w:val="24"/>
          <w:szCs w:val="24"/>
          <w:highlight w:val="none"/>
        </w:rPr>
        <w:t>2.1.2 “合同价”系指根据合同约定，</w:t>
      </w:r>
      <w:r>
        <w:rPr>
          <w:rFonts w:hint="eastAsia"/>
          <w:sz w:val="24"/>
          <w:szCs w:val="24"/>
          <w:highlight w:val="none"/>
        </w:rPr>
        <w:t>中标供应商</w:t>
      </w:r>
      <w:r>
        <w:rPr>
          <w:sz w:val="24"/>
          <w:szCs w:val="24"/>
          <w:highlight w:val="none"/>
        </w:rPr>
        <w:t>在完全履行合同义务后，采购人应支付给</w:t>
      </w:r>
      <w:r>
        <w:rPr>
          <w:rFonts w:hint="eastAsia"/>
          <w:sz w:val="24"/>
          <w:szCs w:val="24"/>
          <w:highlight w:val="none"/>
        </w:rPr>
        <w:t>中标供应商</w:t>
      </w:r>
      <w:r>
        <w:rPr>
          <w:sz w:val="24"/>
          <w:szCs w:val="24"/>
          <w:highlight w:val="none"/>
        </w:rPr>
        <w:t>的价格。</w:t>
      </w:r>
    </w:p>
    <w:p w14:paraId="5C60F7A1">
      <w:pPr>
        <w:spacing w:line="560" w:lineRule="exact"/>
        <w:ind w:firstLine="480" w:firstLineChars="200"/>
        <w:rPr>
          <w:sz w:val="24"/>
          <w:szCs w:val="24"/>
          <w:highlight w:val="none"/>
        </w:rPr>
      </w:pPr>
      <w:r>
        <w:rPr>
          <w:sz w:val="24"/>
          <w:szCs w:val="24"/>
          <w:highlight w:val="none"/>
        </w:rPr>
        <w:t>2.1.3 “服务”系指</w:t>
      </w:r>
      <w:r>
        <w:rPr>
          <w:rFonts w:hint="eastAsia"/>
          <w:sz w:val="24"/>
          <w:szCs w:val="24"/>
          <w:highlight w:val="none"/>
        </w:rPr>
        <w:t>中标供应商</w:t>
      </w:r>
      <w:r>
        <w:rPr>
          <w:sz w:val="24"/>
          <w:szCs w:val="24"/>
          <w:highlight w:val="none"/>
        </w:rPr>
        <w:t>根据合同约定应向采购人履行的除货物和工程以外的其他政府采购对象，包括采购人自身需要的服务和向社会公众提供的公共服务。</w:t>
      </w:r>
    </w:p>
    <w:p w14:paraId="77609C44">
      <w:pPr>
        <w:spacing w:line="560" w:lineRule="exact"/>
        <w:ind w:firstLine="480" w:firstLineChars="200"/>
        <w:rPr>
          <w:sz w:val="24"/>
          <w:szCs w:val="24"/>
          <w:highlight w:val="none"/>
        </w:rPr>
      </w:pPr>
      <w:bookmarkStart w:id="138" w:name="_Ref467378840"/>
      <w:r>
        <w:rPr>
          <w:sz w:val="24"/>
          <w:szCs w:val="24"/>
          <w:highlight w:val="none"/>
        </w:rPr>
        <w:t>2.1.4 “甲方”系指与</w:t>
      </w:r>
      <w:r>
        <w:rPr>
          <w:rFonts w:hint="eastAsia"/>
          <w:sz w:val="24"/>
          <w:szCs w:val="24"/>
          <w:highlight w:val="none"/>
        </w:rPr>
        <w:t>中标供应商</w:t>
      </w:r>
      <w:r>
        <w:rPr>
          <w:sz w:val="24"/>
          <w:szCs w:val="24"/>
          <w:highlight w:val="none"/>
        </w:rPr>
        <w:t>签署合同的采购人</w:t>
      </w:r>
      <w:bookmarkEnd w:id="138"/>
      <w:r>
        <w:rPr>
          <w:sz w:val="24"/>
          <w:szCs w:val="24"/>
          <w:highlight w:val="none"/>
        </w:rPr>
        <w:t>；采购人委托采购代理机构代表其与乙方签订合同的，采购人的授权委托书作为合同附件。</w:t>
      </w:r>
    </w:p>
    <w:p w14:paraId="5E3A2A3E">
      <w:pPr>
        <w:spacing w:line="560" w:lineRule="exact"/>
        <w:ind w:firstLine="480" w:firstLineChars="200"/>
        <w:rPr>
          <w:sz w:val="24"/>
          <w:szCs w:val="24"/>
          <w:highlight w:val="none"/>
        </w:rPr>
      </w:pPr>
      <w:bookmarkStart w:id="139" w:name="_Ref467379400"/>
      <w:r>
        <w:rPr>
          <w:sz w:val="24"/>
          <w:szCs w:val="24"/>
          <w:highlight w:val="none"/>
        </w:rPr>
        <w:t>2.1.5 “乙方”系指根据合同约定提供服务的</w:t>
      </w:r>
      <w:bookmarkEnd w:id="139"/>
      <w:r>
        <w:rPr>
          <w:rFonts w:hint="eastAsia"/>
          <w:sz w:val="24"/>
          <w:szCs w:val="24"/>
          <w:highlight w:val="none"/>
        </w:rPr>
        <w:t>中标供应商</w:t>
      </w:r>
      <w:r>
        <w:rPr>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BA5E45">
      <w:pPr>
        <w:spacing w:line="560" w:lineRule="exact"/>
        <w:ind w:firstLine="480" w:firstLineChars="200"/>
        <w:rPr>
          <w:sz w:val="24"/>
          <w:szCs w:val="24"/>
          <w:highlight w:val="none"/>
        </w:rPr>
      </w:pPr>
      <w:bookmarkStart w:id="140" w:name="_Ref467379436"/>
      <w:r>
        <w:rPr>
          <w:sz w:val="24"/>
          <w:szCs w:val="24"/>
          <w:highlight w:val="none"/>
        </w:rPr>
        <w:t>2.1.6 “现场”系指合同约定提供服务的地点。</w:t>
      </w:r>
      <w:bookmarkEnd w:id="140"/>
    </w:p>
    <w:p w14:paraId="6B6BB99A">
      <w:pPr>
        <w:spacing w:line="560" w:lineRule="exact"/>
        <w:ind w:firstLine="482" w:firstLineChars="200"/>
        <w:rPr>
          <w:b/>
          <w:sz w:val="24"/>
          <w:szCs w:val="24"/>
          <w:highlight w:val="none"/>
        </w:rPr>
      </w:pPr>
      <w:bookmarkStart w:id="141" w:name="_Toc259093670"/>
      <w:bookmarkStart w:id="142" w:name="_Toc279701241"/>
      <w:bookmarkStart w:id="143" w:name="_Toc3769"/>
      <w:bookmarkStart w:id="144" w:name="_Toc31402"/>
      <w:bookmarkStart w:id="145" w:name="_Toc23289"/>
      <w:bookmarkStart w:id="146" w:name="_Toc487900350"/>
      <w:bookmarkStart w:id="147" w:name="_Toc19539"/>
      <w:bookmarkStart w:id="148" w:name="_Toc16752"/>
      <w:r>
        <w:rPr>
          <w:b/>
          <w:sz w:val="24"/>
          <w:szCs w:val="24"/>
          <w:highlight w:val="none"/>
        </w:rPr>
        <w:t>2.2 技术规范</w:t>
      </w:r>
      <w:bookmarkEnd w:id="141"/>
      <w:bookmarkEnd w:id="142"/>
      <w:bookmarkEnd w:id="143"/>
      <w:bookmarkEnd w:id="144"/>
      <w:bookmarkEnd w:id="145"/>
      <w:bookmarkEnd w:id="146"/>
      <w:bookmarkEnd w:id="147"/>
      <w:bookmarkEnd w:id="148"/>
    </w:p>
    <w:p w14:paraId="056D157C">
      <w:pPr>
        <w:spacing w:line="560" w:lineRule="exact"/>
        <w:ind w:firstLine="480" w:firstLineChars="200"/>
        <w:rPr>
          <w:sz w:val="24"/>
          <w:szCs w:val="24"/>
          <w:highlight w:val="none"/>
        </w:rPr>
      </w:pPr>
      <w:r>
        <w:rPr>
          <w:sz w:val="24"/>
          <w:szCs w:val="24"/>
          <w:highlight w:val="none"/>
        </w:rPr>
        <w:t>服务所应遵守的技术规范应与</w:t>
      </w:r>
      <w:r>
        <w:rPr>
          <w:rFonts w:hint="eastAsia"/>
          <w:sz w:val="24"/>
          <w:szCs w:val="24"/>
          <w:highlight w:val="none"/>
        </w:rPr>
        <w:t>采购文件</w:t>
      </w:r>
      <w:r>
        <w:rPr>
          <w:sz w:val="24"/>
          <w:szCs w:val="24"/>
          <w:highlight w:val="none"/>
        </w:rPr>
        <w:t>规定的技术规范和技术规范附件(如果有的话)及其技术规范偏差表(如果被甲方接受的话)相一致；如果</w:t>
      </w:r>
      <w:r>
        <w:rPr>
          <w:rFonts w:hint="eastAsia"/>
          <w:sz w:val="24"/>
          <w:szCs w:val="24"/>
          <w:highlight w:val="none"/>
        </w:rPr>
        <w:t>采购文件</w:t>
      </w:r>
      <w:r>
        <w:rPr>
          <w:sz w:val="24"/>
          <w:szCs w:val="24"/>
          <w:highlight w:val="none"/>
        </w:rPr>
        <w:t>中没有技术规范的相应说明，那么应以国家有关部门最新颁布的相应标准和规范为准。</w:t>
      </w:r>
    </w:p>
    <w:p w14:paraId="6445EDEA">
      <w:pPr>
        <w:spacing w:line="560" w:lineRule="exact"/>
        <w:ind w:firstLine="482" w:firstLineChars="200"/>
        <w:rPr>
          <w:b/>
          <w:sz w:val="24"/>
          <w:szCs w:val="24"/>
          <w:highlight w:val="none"/>
        </w:rPr>
      </w:pPr>
      <w:bookmarkStart w:id="149" w:name="_Toc4133"/>
      <w:bookmarkStart w:id="150" w:name="_Toc487900351"/>
      <w:bookmarkStart w:id="151" w:name="_Toc259093671"/>
      <w:bookmarkStart w:id="152" w:name="_Toc13673"/>
      <w:bookmarkStart w:id="153" w:name="_Toc9161"/>
      <w:bookmarkStart w:id="154" w:name="_Toc27945"/>
      <w:bookmarkStart w:id="155" w:name="_Toc279701242"/>
      <w:bookmarkStart w:id="156" w:name="_Toc12412"/>
      <w:r>
        <w:rPr>
          <w:b/>
          <w:sz w:val="24"/>
          <w:szCs w:val="24"/>
          <w:highlight w:val="none"/>
        </w:rPr>
        <w:t>2.3 知识产权</w:t>
      </w:r>
      <w:bookmarkEnd w:id="149"/>
      <w:bookmarkEnd w:id="150"/>
      <w:bookmarkEnd w:id="151"/>
      <w:bookmarkEnd w:id="152"/>
      <w:bookmarkEnd w:id="153"/>
      <w:bookmarkEnd w:id="154"/>
      <w:bookmarkEnd w:id="155"/>
      <w:bookmarkEnd w:id="156"/>
    </w:p>
    <w:p w14:paraId="793A71C3">
      <w:pPr>
        <w:spacing w:line="560" w:lineRule="exact"/>
        <w:ind w:firstLine="480" w:firstLineChars="200"/>
        <w:rPr>
          <w:sz w:val="24"/>
          <w:szCs w:val="24"/>
          <w:highlight w:val="none"/>
        </w:rPr>
      </w:pPr>
      <w:r>
        <w:rPr>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51B10BA">
      <w:pPr>
        <w:spacing w:line="560" w:lineRule="exact"/>
        <w:ind w:firstLine="480" w:firstLineChars="200"/>
        <w:rPr>
          <w:sz w:val="24"/>
          <w:szCs w:val="24"/>
          <w:highlight w:val="none"/>
        </w:rPr>
      </w:pPr>
      <w:r>
        <w:rPr>
          <w:sz w:val="24"/>
          <w:szCs w:val="24"/>
          <w:highlight w:val="none"/>
        </w:rPr>
        <w:t>2.3.2 技术成果归属甲方。</w:t>
      </w:r>
    </w:p>
    <w:p w14:paraId="6EDD7349">
      <w:pPr>
        <w:spacing w:line="560" w:lineRule="exact"/>
        <w:ind w:firstLine="482" w:firstLineChars="200"/>
        <w:rPr>
          <w:b/>
          <w:sz w:val="24"/>
          <w:szCs w:val="24"/>
          <w:highlight w:val="none"/>
        </w:rPr>
      </w:pPr>
      <w:r>
        <w:rPr>
          <w:b/>
          <w:sz w:val="24"/>
          <w:szCs w:val="24"/>
          <w:highlight w:val="none"/>
        </w:rPr>
        <w:t>2.4 履约检查和问题反馈</w:t>
      </w:r>
    </w:p>
    <w:p w14:paraId="0AEC46E6">
      <w:pPr>
        <w:spacing w:line="560" w:lineRule="exact"/>
        <w:ind w:firstLine="480" w:firstLineChars="200"/>
        <w:rPr>
          <w:sz w:val="24"/>
          <w:szCs w:val="24"/>
          <w:highlight w:val="none"/>
        </w:rPr>
      </w:pPr>
      <w:bookmarkStart w:id="157" w:name="_Ref467379657"/>
      <w:r>
        <w:rPr>
          <w:sz w:val="24"/>
          <w:szCs w:val="24"/>
          <w:highlight w:val="none"/>
        </w:rPr>
        <w:t>2.4.1</w:t>
      </w:r>
      <w:bookmarkEnd w:id="157"/>
      <w:bookmarkStart w:id="158" w:name="_Toc186431854"/>
      <w:bookmarkStart w:id="159" w:name="_Ref467379807"/>
      <w:bookmarkStart w:id="160" w:name="_Toc487900357"/>
      <w:bookmarkStart w:id="161" w:name="_Ref467379793"/>
      <w:bookmarkStart w:id="162" w:name="_Toc259093676"/>
      <w:bookmarkStart w:id="163" w:name="_Toc279701247"/>
      <w:r>
        <w:rPr>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836D44D">
      <w:pPr>
        <w:spacing w:line="560" w:lineRule="exact"/>
        <w:ind w:firstLine="480" w:firstLineChars="200"/>
        <w:rPr>
          <w:sz w:val="24"/>
          <w:szCs w:val="24"/>
          <w:highlight w:val="none"/>
        </w:rPr>
      </w:pPr>
      <w:r>
        <w:rPr>
          <w:sz w:val="24"/>
          <w:szCs w:val="24"/>
          <w:highlight w:val="none"/>
        </w:rPr>
        <w:t>2.4.2 合同履行期间，甲方有权将履行过程中出现的问题反馈给乙方，双方当事人应以书面形式约定需要完善和改进的内容</w:t>
      </w:r>
      <w:bookmarkEnd w:id="158"/>
      <w:bookmarkStart w:id="164" w:name="_Toc186431855"/>
      <w:r>
        <w:rPr>
          <w:sz w:val="24"/>
          <w:szCs w:val="24"/>
          <w:highlight w:val="none"/>
        </w:rPr>
        <w:t>。</w:t>
      </w:r>
    </w:p>
    <w:bookmarkEnd w:id="159"/>
    <w:bookmarkEnd w:id="160"/>
    <w:bookmarkEnd w:id="161"/>
    <w:bookmarkEnd w:id="162"/>
    <w:bookmarkEnd w:id="163"/>
    <w:bookmarkEnd w:id="164"/>
    <w:p w14:paraId="3F753487">
      <w:pPr>
        <w:spacing w:line="560" w:lineRule="exact"/>
        <w:ind w:firstLine="482" w:firstLineChars="200"/>
        <w:rPr>
          <w:b/>
          <w:sz w:val="24"/>
          <w:szCs w:val="24"/>
          <w:highlight w:val="none"/>
        </w:rPr>
      </w:pPr>
      <w:bookmarkStart w:id="165" w:name="_Toc279701248"/>
      <w:bookmarkStart w:id="166" w:name="_Ref467379923"/>
      <w:bookmarkStart w:id="167" w:name="_Ref467379863"/>
      <w:bookmarkStart w:id="168" w:name="_Toc487900358"/>
      <w:bookmarkStart w:id="169" w:name="_Ref467379852"/>
      <w:bookmarkStart w:id="170" w:name="_Toc259093677"/>
      <w:bookmarkStart w:id="171" w:name="_Toc30507"/>
      <w:bookmarkStart w:id="172" w:name="_Toc16163"/>
      <w:bookmarkStart w:id="173" w:name="_Toc18990"/>
      <w:bookmarkStart w:id="174" w:name="_Toc13154"/>
      <w:bookmarkStart w:id="175" w:name="_Toc13467"/>
      <w:r>
        <w:rPr>
          <w:b/>
          <w:sz w:val="24"/>
          <w:szCs w:val="24"/>
          <w:highlight w:val="none"/>
        </w:rPr>
        <w:t>2.5 技术资料</w:t>
      </w:r>
      <w:bookmarkEnd w:id="165"/>
      <w:bookmarkEnd w:id="166"/>
      <w:bookmarkEnd w:id="167"/>
      <w:bookmarkEnd w:id="168"/>
      <w:bookmarkEnd w:id="169"/>
      <w:bookmarkEnd w:id="170"/>
      <w:r>
        <w:rPr>
          <w:b/>
          <w:sz w:val="24"/>
          <w:szCs w:val="24"/>
          <w:highlight w:val="none"/>
        </w:rPr>
        <w:t>和保密义务</w:t>
      </w:r>
      <w:bookmarkEnd w:id="171"/>
      <w:bookmarkEnd w:id="172"/>
      <w:bookmarkEnd w:id="173"/>
      <w:bookmarkEnd w:id="174"/>
      <w:bookmarkEnd w:id="175"/>
    </w:p>
    <w:p w14:paraId="36D2C0EE">
      <w:pPr>
        <w:spacing w:line="560" w:lineRule="exact"/>
        <w:ind w:firstLine="480" w:firstLineChars="200"/>
        <w:rPr>
          <w:sz w:val="24"/>
          <w:szCs w:val="24"/>
          <w:highlight w:val="none"/>
        </w:rPr>
      </w:pPr>
      <w:r>
        <w:rPr>
          <w:sz w:val="24"/>
          <w:szCs w:val="24"/>
          <w:highlight w:val="none"/>
        </w:rPr>
        <w:t>2.5.1 乙方有权依据合同约定和项目需要，向甲方了解有关情况，调阅有关资料等，甲方应予积极配合；</w:t>
      </w:r>
    </w:p>
    <w:p w14:paraId="581E780B">
      <w:pPr>
        <w:spacing w:line="560" w:lineRule="exact"/>
        <w:ind w:firstLine="480" w:firstLineChars="200"/>
        <w:rPr>
          <w:sz w:val="24"/>
          <w:szCs w:val="24"/>
          <w:highlight w:val="none"/>
        </w:rPr>
      </w:pPr>
      <w:r>
        <w:rPr>
          <w:sz w:val="24"/>
          <w:szCs w:val="24"/>
          <w:highlight w:val="none"/>
        </w:rPr>
        <w:t>2.5.2 乙方有义务妥善保管和保护由甲方提供的前款信息和资料等；</w:t>
      </w:r>
    </w:p>
    <w:p w14:paraId="18076B36">
      <w:pPr>
        <w:spacing w:line="560" w:lineRule="exact"/>
        <w:ind w:firstLine="480" w:firstLineChars="200"/>
        <w:rPr>
          <w:sz w:val="24"/>
          <w:szCs w:val="24"/>
          <w:highlight w:val="none"/>
        </w:rPr>
      </w:pPr>
      <w:r>
        <w:rPr>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F8B4665">
      <w:pPr>
        <w:spacing w:line="560" w:lineRule="exact"/>
        <w:ind w:firstLine="482" w:firstLineChars="200"/>
        <w:rPr>
          <w:b/>
          <w:sz w:val="24"/>
          <w:szCs w:val="24"/>
          <w:highlight w:val="none"/>
        </w:rPr>
      </w:pPr>
      <w:bookmarkStart w:id="176" w:name="_Toc19069"/>
      <w:bookmarkStart w:id="177" w:name="_Toc259093681"/>
      <w:bookmarkStart w:id="178" w:name="_Toc279701252"/>
      <w:bookmarkStart w:id="179" w:name="_Toc487900362"/>
      <w:r>
        <w:rPr>
          <w:b/>
          <w:sz w:val="24"/>
          <w:szCs w:val="24"/>
          <w:highlight w:val="none"/>
        </w:rPr>
        <w:t>2.6 质量保证</w:t>
      </w:r>
      <w:bookmarkEnd w:id="176"/>
    </w:p>
    <w:p w14:paraId="47EFAF02">
      <w:pPr>
        <w:spacing w:line="560" w:lineRule="exact"/>
        <w:ind w:firstLine="480" w:firstLineChars="200"/>
        <w:rPr>
          <w:sz w:val="24"/>
          <w:szCs w:val="24"/>
          <w:highlight w:val="none"/>
        </w:rPr>
      </w:pPr>
      <w:r>
        <w:rPr>
          <w:sz w:val="24"/>
          <w:szCs w:val="24"/>
          <w:highlight w:val="none"/>
        </w:rPr>
        <w:t>2.6.1 乙方应建立和完善履行合同的内部质量保证体系，并提供相关内部规章制度给甲方，以便甲方进行监督检查；</w:t>
      </w:r>
    </w:p>
    <w:p w14:paraId="4DBF4DBD">
      <w:pPr>
        <w:spacing w:line="560" w:lineRule="exact"/>
        <w:ind w:firstLine="480" w:firstLineChars="200"/>
        <w:rPr>
          <w:sz w:val="24"/>
          <w:szCs w:val="24"/>
          <w:highlight w:val="none"/>
        </w:rPr>
      </w:pPr>
      <w:r>
        <w:rPr>
          <w:sz w:val="24"/>
          <w:szCs w:val="24"/>
          <w:highlight w:val="none"/>
        </w:rPr>
        <w:t>2.6.2 乙方应保证履行合同的人员数量和素质、软件和硬件设备的配置、场地、环境和设施等满足全面履行合同的要求，并应接受甲方的监督检查。</w:t>
      </w:r>
    </w:p>
    <w:p w14:paraId="2BE39C1A">
      <w:pPr>
        <w:spacing w:line="560" w:lineRule="exact"/>
        <w:ind w:firstLine="482" w:firstLineChars="200"/>
        <w:rPr>
          <w:b/>
          <w:sz w:val="24"/>
          <w:szCs w:val="24"/>
          <w:highlight w:val="none"/>
        </w:rPr>
      </w:pPr>
      <w:bookmarkStart w:id="180" w:name="_Toc22267"/>
      <w:r>
        <w:rPr>
          <w:b/>
          <w:sz w:val="24"/>
          <w:szCs w:val="24"/>
          <w:highlight w:val="none"/>
        </w:rPr>
        <w:t>2.7 延迟</w:t>
      </w:r>
      <w:bookmarkEnd w:id="177"/>
      <w:bookmarkEnd w:id="178"/>
      <w:bookmarkEnd w:id="179"/>
      <w:r>
        <w:rPr>
          <w:b/>
          <w:sz w:val="24"/>
          <w:szCs w:val="24"/>
          <w:highlight w:val="none"/>
        </w:rPr>
        <w:t>履行</w:t>
      </w:r>
      <w:bookmarkEnd w:id="180"/>
    </w:p>
    <w:p w14:paraId="4B7992A0">
      <w:pPr>
        <w:spacing w:line="560" w:lineRule="exact"/>
        <w:ind w:firstLine="480" w:firstLineChars="200"/>
        <w:rPr>
          <w:sz w:val="24"/>
          <w:szCs w:val="24"/>
          <w:highlight w:val="none"/>
        </w:rPr>
      </w:pPr>
      <w:r>
        <w:rPr>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FFC646A">
      <w:pPr>
        <w:spacing w:line="560" w:lineRule="exact"/>
        <w:ind w:firstLine="482" w:firstLineChars="200"/>
        <w:rPr>
          <w:b/>
          <w:sz w:val="24"/>
          <w:szCs w:val="24"/>
          <w:highlight w:val="none"/>
        </w:rPr>
      </w:pPr>
      <w:bookmarkStart w:id="181" w:name="_Toc10611"/>
      <w:bookmarkStart w:id="182" w:name="_Toc279701254"/>
      <w:bookmarkStart w:id="183" w:name="_Toc487900364"/>
      <w:bookmarkStart w:id="184" w:name="_Toc259093683"/>
      <w:bookmarkStart w:id="185" w:name="_Ref467378121"/>
      <w:r>
        <w:rPr>
          <w:b/>
          <w:sz w:val="24"/>
          <w:szCs w:val="24"/>
          <w:highlight w:val="none"/>
        </w:rPr>
        <w:t>2.8 合同变更</w:t>
      </w:r>
      <w:bookmarkEnd w:id="181"/>
    </w:p>
    <w:p w14:paraId="116E1C96">
      <w:pPr>
        <w:spacing w:line="560" w:lineRule="exact"/>
        <w:ind w:firstLine="480" w:firstLineChars="200"/>
        <w:rPr>
          <w:sz w:val="24"/>
          <w:szCs w:val="24"/>
          <w:highlight w:val="none"/>
        </w:rPr>
      </w:pPr>
      <w:r>
        <w:rPr>
          <w:sz w:val="24"/>
          <w:szCs w:val="24"/>
          <w:highlight w:val="none"/>
        </w:rPr>
        <w:t>2.8.1 双方当事人协商一致，可以签订书面补充合同的形式变更合同，但不得违背</w:t>
      </w:r>
      <w:r>
        <w:rPr>
          <w:rFonts w:hint="eastAsia"/>
          <w:sz w:val="24"/>
          <w:szCs w:val="24"/>
          <w:highlight w:val="none"/>
        </w:rPr>
        <w:t>采购文件</w:t>
      </w:r>
      <w:r>
        <w:rPr>
          <w:sz w:val="24"/>
          <w:szCs w:val="24"/>
          <w:highlight w:val="none"/>
        </w:rPr>
        <w:t>确定的事项，且如果系追加与合同标的相同的服务的，那么所有补充合同的采购金额不得超过原合同价的10%；</w:t>
      </w:r>
    </w:p>
    <w:p w14:paraId="69F33CC8">
      <w:pPr>
        <w:spacing w:line="560" w:lineRule="exact"/>
        <w:ind w:firstLine="480" w:firstLineChars="200"/>
        <w:rPr>
          <w:sz w:val="24"/>
          <w:szCs w:val="24"/>
          <w:highlight w:val="none"/>
        </w:rPr>
      </w:pPr>
      <w:r>
        <w:rPr>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6" w:name="_Toc487900369"/>
      <w:bookmarkStart w:id="187" w:name="_Toc259093688"/>
      <w:bookmarkStart w:id="188" w:name="_Toc279701259"/>
    </w:p>
    <w:p w14:paraId="2013F5C0">
      <w:pPr>
        <w:spacing w:line="560" w:lineRule="exact"/>
        <w:ind w:firstLine="482" w:firstLineChars="200"/>
        <w:rPr>
          <w:b/>
          <w:sz w:val="24"/>
          <w:szCs w:val="24"/>
          <w:highlight w:val="none"/>
        </w:rPr>
      </w:pPr>
      <w:bookmarkStart w:id="189" w:name="_Toc23368"/>
      <w:bookmarkStart w:id="190" w:name="_Toc26689"/>
      <w:bookmarkStart w:id="191" w:name="_Toc42"/>
      <w:bookmarkStart w:id="192" w:name="_Toc10663"/>
      <w:bookmarkStart w:id="193" w:name="_Toc21830"/>
      <w:r>
        <w:rPr>
          <w:b/>
          <w:sz w:val="24"/>
          <w:szCs w:val="24"/>
          <w:highlight w:val="none"/>
        </w:rPr>
        <w:t>2.9 合同转让</w:t>
      </w:r>
      <w:bookmarkEnd w:id="186"/>
      <w:bookmarkEnd w:id="187"/>
      <w:bookmarkEnd w:id="188"/>
      <w:r>
        <w:rPr>
          <w:b/>
          <w:sz w:val="24"/>
          <w:szCs w:val="24"/>
          <w:highlight w:val="none"/>
        </w:rPr>
        <w:t>和分包</w:t>
      </w:r>
      <w:bookmarkEnd w:id="189"/>
      <w:bookmarkEnd w:id="190"/>
      <w:bookmarkEnd w:id="191"/>
      <w:bookmarkEnd w:id="192"/>
      <w:bookmarkEnd w:id="193"/>
    </w:p>
    <w:p w14:paraId="50E6ED36">
      <w:pPr>
        <w:spacing w:line="560" w:lineRule="exact"/>
        <w:ind w:firstLine="480" w:firstLineChars="200"/>
        <w:rPr>
          <w:sz w:val="24"/>
          <w:szCs w:val="24"/>
          <w:highlight w:val="none"/>
        </w:rPr>
      </w:pPr>
      <w:r>
        <w:rPr>
          <w:sz w:val="24"/>
          <w:highlight w:val="none"/>
        </w:rPr>
        <w:t>合同的权利义务依法不得转让，如</w:t>
      </w:r>
      <w:r>
        <w:rPr>
          <w:rFonts w:hint="eastAsia"/>
          <w:sz w:val="24"/>
          <w:highlight w:val="none"/>
        </w:rPr>
        <w:t>采购文件</w:t>
      </w:r>
      <w:r>
        <w:rPr>
          <w:sz w:val="24"/>
          <w:highlight w:val="none"/>
        </w:rPr>
        <w:t>“第一章 报价邀请函”中甲方接受</w:t>
      </w:r>
      <w:r>
        <w:rPr>
          <w:rFonts w:hint="eastAsia"/>
          <w:sz w:val="24"/>
          <w:highlight w:val="none"/>
        </w:rPr>
        <w:t>中标</w:t>
      </w:r>
      <w:r>
        <w:rPr>
          <w:sz w:val="24"/>
          <w:highlight w:val="none"/>
        </w:rPr>
        <w:t>后分包，</w:t>
      </w:r>
      <w:r>
        <w:rPr>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DC2D089">
      <w:pPr>
        <w:spacing w:line="560" w:lineRule="exact"/>
        <w:ind w:firstLine="482" w:firstLineChars="200"/>
        <w:rPr>
          <w:b/>
          <w:sz w:val="24"/>
          <w:szCs w:val="24"/>
          <w:highlight w:val="none"/>
        </w:rPr>
      </w:pPr>
      <w:bookmarkStart w:id="194" w:name="_Toc14371"/>
      <w:bookmarkStart w:id="195" w:name="_Toc25571"/>
      <w:bookmarkStart w:id="196" w:name="_Toc32494"/>
      <w:bookmarkStart w:id="197" w:name="_Toc26633"/>
      <w:bookmarkStart w:id="198" w:name="_Toc4720"/>
      <w:r>
        <w:rPr>
          <w:b/>
          <w:sz w:val="24"/>
          <w:szCs w:val="24"/>
          <w:highlight w:val="none"/>
        </w:rPr>
        <w:t>2.10 不可抗力</w:t>
      </w:r>
      <w:bookmarkEnd w:id="194"/>
      <w:bookmarkEnd w:id="195"/>
      <w:bookmarkEnd w:id="196"/>
      <w:bookmarkEnd w:id="197"/>
      <w:bookmarkEnd w:id="198"/>
    </w:p>
    <w:p w14:paraId="14D6D583">
      <w:pPr>
        <w:spacing w:line="560" w:lineRule="exact"/>
        <w:ind w:firstLine="480" w:firstLineChars="200"/>
        <w:rPr>
          <w:sz w:val="24"/>
          <w:szCs w:val="24"/>
          <w:highlight w:val="none"/>
        </w:rPr>
      </w:pPr>
      <w:r>
        <w:rPr>
          <w:sz w:val="24"/>
          <w:szCs w:val="24"/>
          <w:highlight w:val="none"/>
        </w:rPr>
        <w:t>2.10.1如果任何一方遭遇法律规定的不可抗力，致使合同履行受阻时，履行合同的期限应予延长，延长的期限应相当于不可抗力所影响的时间；</w:t>
      </w:r>
    </w:p>
    <w:p w14:paraId="4BEE5FB5">
      <w:pPr>
        <w:spacing w:line="560" w:lineRule="exact"/>
        <w:ind w:firstLine="480" w:firstLineChars="200"/>
        <w:rPr>
          <w:sz w:val="24"/>
          <w:szCs w:val="24"/>
          <w:highlight w:val="none"/>
        </w:rPr>
      </w:pPr>
      <w:r>
        <w:rPr>
          <w:sz w:val="24"/>
          <w:szCs w:val="24"/>
          <w:highlight w:val="none"/>
        </w:rPr>
        <w:t>2.10.2 因不可抗力致使不能实现合同目的的，当事人可以解除合同；</w:t>
      </w:r>
    </w:p>
    <w:p w14:paraId="2CA1FDB3">
      <w:pPr>
        <w:spacing w:line="560" w:lineRule="exact"/>
        <w:ind w:firstLine="480" w:firstLineChars="200"/>
        <w:rPr>
          <w:sz w:val="24"/>
          <w:szCs w:val="24"/>
          <w:highlight w:val="none"/>
        </w:rPr>
      </w:pPr>
      <w:r>
        <w:rPr>
          <w:sz w:val="24"/>
          <w:szCs w:val="24"/>
          <w:highlight w:val="none"/>
        </w:rPr>
        <w:t>2.10.3 因不可抗力致使合同有变更必要的，</w:t>
      </w:r>
      <w:r>
        <w:rPr>
          <w:sz w:val="24"/>
          <w:highlight w:val="none"/>
        </w:rPr>
        <w:t>双方当事人应在约定时间内以书面形式变更合同</w:t>
      </w:r>
      <w:r>
        <w:rPr>
          <w:sz w:val="24"/>
          <w:szCs w:val="24"/>
          <w:highlight w:val="none"/>
        </w:rPr>
        <w:t>；</w:t>
      </w:r>
    </w:p>
    <w:p w14:paraId="0C7DB6CA">
      <w:pPr>
        <w:spacing w:line="560" w:lineRule="exact"/>
        <w:ind w:firstLine="480" w:firstLineChars="200"/>
        <w:rPr>
          <w:bCs/>
          <w:sz w:val="24"/>
          <w:highlight w:val="none"/>
          <w:lang w:val="zh-CN"/>
        </w:rPr>
      </w:pPr>
      <w:r>
        <w:rPr>
          <w:sz w:val="24"/>
          <w:szCs w:val="24"/>
          <w:highlight w:val="none"/>
        </w:rPr>
        <w:t xml:space="preserve">2.10.4 </w:t>
      </w:r>
      <w:r>
        <w:rPr>
          <w:bCs/>
          <w:sz w:val="24"/>
          <w:highlight w:val="none"/>
          <w:lang w:val="zh-CN"/>
        </w:rPr>
        <w:t>如遭遇不可抗力事件，遭遇不可抗力的一方应尽快以书面形式将不可抗力的情况和原因通知另一方，并</w:t>
      </w:r>
      <w:r>
        <w:rPr>
          <w:sz w:val="24"/>
          <w:highlight w:val="none"/>
        </w:rPr>
        <w:t>将有关部门出具的证明文件送达对方当事人，</w:t>
      </w:r>
      <w:r>
        <w:rPr>
          <w:bCs/>
          <w:sz w:val="24"/>
          <w:highlight w:val="none"/>
          <w:lang w:val="zh-CN"/>
        </w:rPr>
        <w:t>积极采取措施防止损失扩大。因不可抗力造成的损失，甲乙双方按照法律规定处理；</w:t>
      </w:r>
    </w:p>
    <w:p w14:paraId="6062DA79">
      <w:pPr>
        <w:spacing w:line="560" w:lineRule="exact"/>
        <w:ind w:firstLine="480" w:firstLineChars="200"/>
        <w:rPr>
          <w:sz w:val="24"/>
          <w:szCs w:val="24"/>
          <w:highlight w:val="none"/>
        </w:rPr>
      </w:pPr>
      <w:r>
        <w:rPr>
          <w:sz w:val="24"/>
          <w:highlight w:val="none"/>
        </w:rPr>
        <w:t xml:space="preserve">2.10.5 </w:t>
      </w:r>
      <w:r>
        <w:rPr>
          <w:bCs/>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77063D4">
      <w:pPr>
        <w:spacing w:line="560" w:lineRule="exact"/>
        <w:ind w:firstLine="482" w:firstLineChars="200"/>
        <w:rPr>
          <w:b/>
          <w:sz w:val="24"/>
          <w:szCs w:val="24"/>
          <w:highlight w:val="none"/>
        </w:rPr>
      </w:pPr>
      <w:bookmarkStart w:id="199" w:name="_Toc487900365"/>
      <w:bookmarkStart w:id="200" w:name="_Toc279701255"/>
      <w:bookmarkStart w:id="201" w:name="_Toc23854"/>
      <w:bookmarkStart w:id="202" w:name="_Toc24465"/>
      <w:bookmarkStart w:id="203" w:name="_Toc14115"/>
      <w:bookmarkStart w:id="204" w:name="_Toc3638"/>
      <w:bookmarkStart w:id="205" w:name="_Toc25783"/>
      <w:bookmarkStart w:id="206" w:name="_Toc259093684"/>
      <w:r>
        <w:rPr>
          <w:b/>
          <w:sz w:val="24"/>
          <w:szCs w:val="24"/>
          <w:highlight w:val="none"/>
        </w:rPr>
        <w:t>2.11 税费</w:t>
      </w:r>
      <w:bookmarkEnd w:id="199"/>
      <w:bookmarkEnd w:id="200"/>
      <w:bookmarkEnd w:id="201"/>
      <w:bookmarkEnd w:id="202"/>
      <w:bookmarkEnd w:id="203"/>
      <w:bookmarkEnd w:id="204"/>
      <w:bookmarkEnd w:id="205"/>
      <w:bookmarkEnd w:id="206"/>
    </w:p>
    <w:p w14:paraId="1A98CC42">
      <w:pPr>
        <w:spacing w:line="560" w:lineRule="exact"/>
        <w:ind w:firstLine="480" w:firstLineChars="200"/>
        <w:rPr>
          <w:sz w:val="24"/>
          <w:szCs w:val="24"/>
          <w:highlight w:val="none"/>
        </w:rPr>
      </w:pPr>
      <w:r>
        <w:rPr>
          <w:sz w:val="24"/>
          <w:szCs w:val="24"/>
          <w:highlight w:val="none"/>
        </w:rPr>
        <w:t>与合同有关的一切税费，均按照中华人民共和国法律的相关规定缴纳。</w:t>
      </w:r>
    </w:p>
    <w:p w14:paraId="303B3E35">
      <w:pPr>
        <w:spacing w:line="560" w:lineRule="exact"/>
        <w:ind w:firstLine="482" w:firstLineChars="200"/>
        <w:rPr>
          <w:b/>
          <w:sz w:val="24"/>
          <w:szCs w:val="24"/>
          <w:highlight w:val="none"/>
        </w:rPr>
      </w:pPr>
      <w:bookmarkStart w:id="207" w:name="_Toc30105"/>
      <w:bookmarkStart w:id="208" w:name="_Toc26883"/>
      <w:bookmarkStart w:id="209" w:name="_Toc487900368"/>
      <w:bookmarkStart w:id="210" w:name="_Toc14814"/>
      <w:bookmarkStart w:id="211" w:name="_Toc25525"/>
      <w:bookmarkStart w:id="212" w:name="_Toc279701258"/>
      <w:bookmarkStart w:id="213" w:name="_Toc7315"/>
      <w:bookmarkStart w:id="214" w:name="_Toc259093687"/>
      <w:r>
        <w:rPr>
          <w:b/>
          <w:sz w:val="24"/>
          <w:szCs w:val="24"/>
          <w:highlight w:val="none"/>
        </w:rPr>
        <w:t>2.12 乙方破产</w:t>
      </w:r>
      <w:bookmarkEnd w:id="207"/>
      <w:bookmarkEnd w:id="208"/>
      <w:bookmarkEnd w:id="209"/>
      <w:bookmarkEnd w:id="210"/>
      <w:bookmarkEnd w:id="211"/>
      <w:bookmarkEnd w:id="212"/>
      <w:bookmarkEnd w:id="213"/>
      <w:bookmarkEnd w:id="214"/>
    </w:p>
    <w:p w14:paraId="03D89B8D">
      <w:pPr>
        <w:spacing w:line="560" w:lineRule="exact"/>
        <w:ind w:firstLine="480" w:firstLineChars="200"/>
        <w:rPr>
          <w:sz w:val="24"/>
          <w:szCs w:val="24"/>
          <w:highlight w:val="none"/>
        </w:rPr>
      </w:pPr>
      <w:r>
        <w:rPr>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709542">
      <w:pPr>
        <w:spacing w:line="560" w:lineRule="exact"/>
        <w:ind w:firstLine="482" w:firstLineChars="200"/>
        <w:rPr>
          <w:b/>
          <w:sz w:val="24"/>
          <w:szCs w:val="24"/>
          <w:highlight w:val="none"/>
        </w:rPr>
      </w:pPr>
      <w:bookmarkStart w:id="215" w:name="_Toc23323"/>
      <w:bookmarkStart w:id="216" w:name="_Toc2016"/>
      <w:bookmarkStart w:id="217" w:name="_Toc1123"/>
      <w:r>
        <w:rPr>
          <w:b/>
          <w:sz w:val="24"/>
          <w:szCs w:val="24"/>
          <w:highlight w:val="none"/>
        </w:rPr>
        <w:t>2.13 合同中止、终止</w:t>
      </w:r>
      <w:bookmarkEnd w:id="215"/>
      <w:bookmarkEnd w:id="216"/>
      <w:bookmarkEnd w:id="217"/>
    </w:p>
    <w:p w14:paraId="36264DE7">
      <w:pPr>
        <w:spacing w:line="560" w:lineRule="exact"/>
        <w:ind w:firstLine="480" w:firstLineChars="200"/>
        <w:rPr>
          <w:sz w:val="24"/>
          <w:szCs w:val="24"/>
          <w:highlight w:val="none"/>
        </w:rPr>
      </w:pPr>
      <w:r>
        <w:rPr>
          <w:sz w:val="24"/>
          <w:szCs w:val="24"/>
          <w:highlight w:val="none"/>
        </w:rPr>
        <w:t>2.13.1 双方当事人不得擅自中止或者终止合同；</w:t>
      </w:r>
    </w:p>
    <w:p w14:paraId="486EAFDD">
      <w:pPr>
        <w:spacing w:line="560" w:lineRule="exact"/>
        <w:ind w:firstLine="480" w:firstLineChars="200"/>
        <w:rPr>
          <w:sz w:val="24"/>
          <w:szCs w:val="24"/>
          <w:highlight w:val="none"/>
        </w:rPr>
      </w:pPr>
      <w:r>
        <w:rPr>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171EC35D">
      <w:pPr>
        <w:spacing w:line="560" w:lineRule="exact"/>
        <w:ind w:firstLine="482" w:firstLineChars="200"/>
        <w:rPr>
          <w:b/>
          <w:sz w:val="24"/>
          <w:szCs w:val="24"/>
          <w:highlight w:val="none"/>
        </w:rPr>
      </w:pPr>
      <w:bookmarkStart w:id="218" w:name="_Toc14525"/>
      <w:bookmarkStart w:id="219" w:name="_Toc17363"/>
      <w:bookmarkStart w:id="220" w:name="_Toc1969"/>
      <w:r>
        <w:rPr>
          <w:b/>
          <w:sz w:val="24"/>
          <w:szCs w:val="24"/>
          <w:highlight w:val="none"/>
        </w:rPr>
        <w:t>2.14 检验和验收</w:t>
      </w:r>
      <w:bookmarkEnd w:id="218"/>
      <w:bookmarkEnd w:id="219"/>
      <w:bookmarkEnd w:id="220"/>
    </w:p>
    <w:p w14:paraId="64ACAD36">
      <w:pPr>
        <w:tabs>
          <w:tab w:val="left" w:pos="360"/>
          <w:tab w:val="left" w:pos="540"/>
          <w:tab w:val="left" w:pos="1080"/>
        </w:tabs>
        <w:spacing w:line="560" w:lineRule="exact"/>
        <w:ind w:firstLine="480" w:firstLineChars="200"/>
        <w:rPr>
          <w:sz w:val="24"/>
          <w:szCs w:val="24"/>
          <w:highlight w:val="none"/>
        </w:rPr>
      </w:pPr>
      <w:r>
        <w:rPr>
          <w:sz w:val="24"/>
          <w:szCs w:val="24"/>
          <w:highlight w:val="none"/>
        </w:rPr>
        <w:t>2.14.1 乙方按照约定，定期提交服务报告，甲方定期进行验收；</w:t>
      </w:r>
    </w:p>
    <w:p w14:paraId="19E7AD12">
      <w:pPr>
        <w:tabs>
          <w:tab w:val="left" w:pos="360"/>
          <w:tab w:val="left" w:pos="540"/>
          <w:tab w:val="left" w:pos="1080"/>
        </w:tabs>
        <w:spacing w:line="560" w:lineRule="exact"/>
        <w:ind w:firstLine="480" w:firstLineChars="200"/>
        <w:rPr>
          <w:sz w:val="24"/>
          <w:szCs w:val="24"/>
          <w:highlight w:val="none"/>
        </w:rPr>
      </w:pPr>
      <w:r>
        <w:rPr>
          <w:sz w:val="24"/>
          <w:szCs w:val="24"/>
          <w:highlight w:val="none"/>
        </w:rPr>
        <w:t>2.14.2 合同期满或者履行完毕后，甲方有权组织（包括依法邀请国家认可的质量检测机构参加）对乙方履约的验收；</w:t>
      </w:r>
    </w:p>
    <w:bookmarkEnd w:id="182"/>
    <w:bookmarkEnd w:id="183"/>
    <w:bookmarkEnd w:id="184"/>
    <w:bookmarkEnd w:id="185"/>
    <w:p w14:paraId="3F1AC2DA">
      <w:pPr>
        <w:spacing w:line="560" w:lineRule="exact"/>
        <w:ind w:firstLine="482" w:firstLineChars="200"/>
        <w:rPr>
          <w:b/>
          <w:sz w:val="24"/>
          <w:szCs w:val="24"/>
          <w:highlight w:val="none"/>
        </w:rPr>
      </w:pPr>
      <w:bookmarkStart w:id="221" w:name="_Toc279701261"/>
      <w:bookmarkStart w:id="222" w:name="_Toc487900371"/>
      <w:bookmarkStart w:id="223" w:name="_Toc259093690"/>
      <w:bookmarkStart w:id="224" w:name="_Toc31892"/>
      <w:bookmarkStart w:id="225" w:name="_Toc9808"/>
      <w:bookmarkStart w:id="226" w:name="_Toc25198"/>
      <w:bookmarkStart w:id="227" w:name="_Toc12666"/>
      <w:bookmarkStart w:id="228" w:name="_Toc2308"/>
      <w:r>
        <w:rPr>
          <w:b/>
          <w:sz w:val="24"/>
          <w:szCs w:val="24"/>
          <w:highlight w:val="none"/>
        </w:rPr>
        <w:t>2.15 通知</w:t>
      </w:r>
      <w:bookmarkEnd w:id="221"/>
      <w:bookmarkEnd w:id="222"/>
      <w:bookmarkEnd w:id="223"/>
      <w:r>
        <w:rPr>
          <w:b/>
          <w:sz w:val="24"/>
          <w:szCs w:val="24"/>
          <w:highlight w:val="none"/>
        </w:rPr>
        <w:t>和送达</w:t>
      </w:r>
      <w:bookmarkEnd w:id="224"/>
      <w:bookmarkEnd w:id="225"/>
      <w:bookmarkEnd w:id="226"/>
      <w:bookmarkEnd w:id="227"/>
      <w:bookmarkEnd w:id="228"/>
    </w:p>
    <w:p w14:paraId="3CE2A063">
      <w:pPr>
        <w:spacing w:line="560" w:lineRule="exact"/>
        <w:ind w:firstLine="480" w:firstLineChars="200"/>
        <w:rPr>
          <w:sz w:val="24"/>
          <w:szCs w:val="24"/>
          <w:highlight w:val="none"/>
        </w:rPr>
      </w:pPr>
      <w:bookmarkStart w:id="229" w:name="_Toc7073"/>
      <w:bookmarkStart w:id="230" w:name="_Toc29220"/>
      <w:bookmarkStart w:id="231" w:name="_Toc259093691"/>
      <w:bookmarkStart w:id="232" w:name="_Toc487900372"/>
      <w:bookmarkStart w:id="233" w:name="_Toc279701262"/>
      <w:r>
        <w:rPr>
          <w:sz w:val="24"/>
          <w:szCs w:val="24"/>
          <w:highlight w:val="none"/>
        </w:rPr>
        <w:t>2.15.1 任何一方因履行合同而以合同第一部分尾部所列明的发出的所有通知、文件、材料，均视为已向对方当事人送达；任何一方变更上述送达方式或者地址的，应于</w:t>
      </w:r>
      <w:r>
        <w:rPr>
          <w:rFonts w:hint="eastAsia"/>
          <w:sz w:val="24"/>
          <w:szCs w:val="24"/>
          <w:highlight w:val="none"/>
          <w:u w:val="single"/>
        </w:rPr>
        <w:t xml:space="preserve">  </w:t>
      </w:r>
      <w:r>
        <w:rPr>
          <w:sz w:val="24"/>
          <w:szCs w:val="24"/>
          <w:highlight w:val="none"/>
        </w:rPr>
        <w:t>个工作日内书面通知对方当事人，在对方当事人收到有关变更通知之前，变更前的约定送达方式或者地址仍视为有效。</w:t>
      </w:r>
      <w:bookmarkEnd w:id="229"/>
      <w:bookmarkEnd w:id="230"/>
    </w:p>
    <w:p w14:paraId="0690FE71">
      <w:pPr>
        <w:spacing w:line="560" w:lineRule="exact"/>
        <w:ind w:firstLine="480" w:firstLineChars="200"/>
        <w:rPr>
          <w:sz w:val="24"/>
          <w:szCs w:val="24"/>
          <w:highlight w:val="none"/>
        </w:rPr>
      </w:pPr>
      <w:bookmarkStart w:id="234" w:name="_Toc18401"/>
      <w:bookmarkStart w:id="235" w:name="_Toc27674"/>
      <w:r>
        <w:rPr>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4"/>
      <w:bookmarkEnd w:id="235"/>
    </w:p>
    <w:bookmarkEnd w:id="231"/>
    <w:bookmarkEnd w:id="232"/>
    <w:bookmarkEnd w:id="233"/>
    <w:p w14:paraId="116D210F">
      <w:pPr>
        <w:spacing w:line="560" w:lineRule="exact"/>
        <w:ind w:firstLine="482" w:firstLineChars="200"/>
        <w:rPr>
          <w:b/>
          <w:sz w:val="24"/>
          <w:szCs w:val="24"/>
          <w:highlight w:val="none"/>
        </w:rPr>
      </w:pPr>
      <w:bookmarkStart w:id="236" w:name="_Toc259093692"/>
      <w:bookmarkStart w:id="237" w:name="_Toc20808"/>
      <w:bookmarkStart w:id="238" w:name="_Toc5063"/>
      <w:bookmarkStart w:id="239" w:name="_Toc487900373"/>
      <w:bookmarkStart w:id="240" w:name="_Toc28906"/>
      <w:bookmarkStart w:id="241" w:name="_Toc27644"/>
      <w:bookmarkStart w:id="242" w:name="_Toc12254"/>
      <w:bookmarkStart w:id="243" w:name="_Toc279701263"/>
      <w:r>
        <w:rPr>
          <w:b/>
          <w:sz w:val="24"/>
          <w:szCs w:val="24"/>
          <w:highlight w:val="none"/>
        </w:rPr>
        <w:t>2.16 合同使用的文字和适用的法律</w:t>
      </w:r>
      <w:bookmarkEnd w:id="236"/>
      <w:bookmarkEnd w:id="237"/>
      <w:bookmarkEnd w:id="238"/>
      <w:bookmarkEnd w:id="239"/>
      <w:bookmarkEnd w:id="240"/>
      <w:bookmarkEnd w:id="241"/>
      <w:bookmarkEnd w:id="242"/>
      <w:bookmarkEnd w:id="243"/>
    </w:p>
    <w:p w14:paraId="3F0B2EF8">
      <w:pPr>
        <w:spacing w:line="560" w:lineRule="exact"/>
        <w:ind w:firstLine="480" w:firstLineChars="200"/>
        <w:rPr>
          <w:sz w:val="24"/>
          <w:szCs w:val="24"/>
          <w:highlight w:val="none"/>
        </w:rPr>
      </w:pPr>
      <w:r>
        <w:rPr>
          <w:sz w:val="24"/>
          <w:szCs w:val="24"/>
          <w:highlight w:val="none"/>
        </w:rPr>
        <w:t>2.16.1 合同使用汉语书就、变更和解释；</w:t>
      </w:r>
    </w:p>
    <w:p w14:paraId="19D15688">
      <w:pPr>
        <w:spacing w:line="560" w:lineRule="exact"/>
        <w:ind w:firstLine="480" w:firstLineChars="200"/>
        <w:rPr>
          <w:sz w:val="24"/>
          <w:szCs w:val="24"/>
          <w:highlight w:val="none"/>
        </w:rPr>
      </w:pPr>
      <w:r>
        <w:rPr>
          <w:sz w:val="24"/>
          <w:szCs w:val="24"/>
          <w:highlight w:val="none"/>
        </w:rPr>
        <w:t>2.16.2 合同适用中华人民共和国法律。</w:t>
      </w:r>
    </w:p>
    <w:p w14:paraId="5E7915E4">
      <w:pPr>
        <w:spacing w:line="5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2.17 履约保证金</w:t>
      </w:r>
    </w:p>
    <w:p w14:paraId="5450F3F9">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2.17.1 签订合同前，中标供应商须按下表要求交纳中标合同总金额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813"/>
        <w:gridCol w:w="2079"/>
      </w:tblGrid>
      <w:tr w14:paraId="56CF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shd w:val="clear" w:color="auto" w:fill="auto"/>
            <w:vAlign w:val="center"/>
          </w:tcPr>
          <w:p w14:paraId="43F0793E">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收款单位</w:t>
            </w:r>
          </w:p>
        </w:tc>
        <w:tc>
          <w:tcPr>
            <w:tcW w:w="4168" w:type="dxa"/>
            <w:shd w:val="clear" w:color="auto" w:fill="auto"/>
            <w:vAlign w:val="center"/>
          </w:tcPr>
          <w:p w14:paraId="1133A814">
            <w:pPr>
              <w:keepNext w:val="0"/>
              <w:keepLines w:val="0"/>
              <w:suppressLineNumbers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江苏宜公投蓝藻资源开发有限公司</w:t>
            </w:r>
          </w:p>
        </w:tc>
        <w:tc>
          <w:tcPr>
            <w:tcW w:w="813" w:type="dxa"/>
            <w:vMerge w:val="restart"/>
            <w:shd w:val="clear" w:color="auto" w:fill="auto"/>
            <w:vAlign w:val="center"/>
          </w:tcPr>
          <w:p w14:paraId="1234E02C">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交纳形式</w:t>
            </w:r>
          </w:p>
        </w:tc>
        <w:tc>
          <w:tcPr>
            <w:tcW w:w="2079" w:type="dxa"/>
            <w:vMerge w:val="restart"/>
            <w:shd w:val="clear" w:color="auto" w:fill="auto"/>
            <w:vAlign w:val="center"/>
          </w:tcPr>
          <w:p w14:paraId="5E0735E6">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r w14:paraId="1F9A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shd w:val="clear" w:color="auto" w:fill="auto"/>
            <w:vAlign w:val="center"/>
          </w:tcPr>
          <w:p w14:paraId="742BF694">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开户行</w:t>
            </w:r>
          </w:p>
        </w:tc>
        <w:tc>
          <w:tcPr>
            <w:tcW w:w="4168" w:type="dxa"/>
            <w:shd w:val="clear" w:color="auto" w:fill="auto"/>
            <w:vAlign w:val="center"/>
          </w:tcPr>
          <w:p w14:paraId="1AA25032">
            <w:pPr>
              <w:keepNext w:val="0"/>
              <w:keepLines w:val="0"/>
              <w:suppressLineNumbers w:val="0"/>
              <w:snapToGrid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中国银行宜兴周铁支行</w:t>
            </w:r>
          </w:p>
        </w:tc>
        <w:tc>
          <w:tcPr>
            <w:tcW w:w="813" w:type="dxa"/>
            <w:vMerge w:val="continue"/>
            <w:shd w:val="clear" w:color="auto" w:fill="auto"/>
            <w:vAlign w:val="center"/>
          </w:tcPr>
          <w:p w14:paraId="67203DBA">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c>
          <w:tcPr>
            <w:tcW w:w="2079" w:type="dxa"/>
            <w:vMerge w:val="continue"/>
            <w:shd w:val="clear" w:color="auto" w:fill="auto"/>
            <w:vAlign w:val="center"/>
          </w:tcPr>
          <w:p w14:paraId="0A484447">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r w14:paraId="102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shd w:val="clear" w:color="auto" w:fill="auto"/>
            <w:vAlign w:val="center"/>
          </w:tcPr>
          <w:p w14:paraId="69A1D799">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账 号</w:t>
            </w:r>
          </w:p>
        </w:tc>
        <w:tc>
          <w:tcPr>
            <w:tcW w:w="4168" w:type="dxa"/>
            <w:shd w:val="clear" w:color="auto" w:fill="auto"/>
            <w:vAlign w:val="center"/>
          </w:tcPr>
          <w:p w14:paraId="416180BA">
            <w:pPr>
              <w:keepNext w:val="0"/>
              <w:keepLines w:val="0"/>
              <w:suppressLineNumbers w:val="0"/>
              <w:snapToGrid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519674450517</w:t>
            </w:r>
          </w:p>
        </w:tc>
        <w:tc>
          <w:tcPr>
            <w:tcW w:w="813" w:type="dxa"/>
            <w:vMerge w:val="continue"/>
            <w:shd w:val="clear" w:color="auto" w:fill="auto"/>
            <w:vAlign w:val="center"/>
          </w:tcPr>
          <w:p w14:paraId="2050081B">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c>
          <w:tcPr>
            <w:tcW w:w="2079" w:type="dxa"/>
            <w:vMerge w:val="continue"/>
            <w:shd w:val="clear" w:color="auto" w:fill="auto"/>
            <w:vAlign w:val="center"/>
          </w:tcPr>
          <w:p w14:paraId="27800CA1">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bl>
    <w:p w14:paraId="192A5D20">
      <w:pPr>
        <w:spacing w:line="560" w:lineRule="exact"/>
        <w:ind w:firstLine="480" w:firstLineChars="200"/>
        <w:rPr>
          <w:sz w:val="24"/>
          <w:szCs w:val="24"/>
          <w:highlight w:val="none"/>
        </w:rPr>
      </w:pPr>
      <w:r>
        <w:rPr>
          <w:rFonts w:hint="eastAsia"/>
          <w:sz w:val="24"/>
          <w:szCs w:val="24"/>
          <w:highlight w:val="none"/>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B96AE2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907AC16">
      <w:pPr>
        <w:spacing w:line="560" w:lineRule="exact"/>
        <w:ind w:firstLine="480" w:firstLineChars="200"/>
        <w:rPr>
          <w:rFonts w:ascii="黑体" w:hAnsi="黑体" w:eastAsia="黑体"/>
          <w:sz w:val="28"/>
          <w:highlight w:val="none"/>
        </w:rPr>
      </w:pPr>
      <w:r>
        <w:rPr>
          <w:rFonts w:hint="eastAsia" w:ascii="宋体" w:hAnsi="宋体" w:cs="宋体"/>
          <w:sz w:val="24"/>
          <w:szCs w:val="24"/>
          <w:highlight w:val="none"/>
        </w:rPr>
        <w:t>2.17.4 如果甲方未及时退还履约保证金，相关责任由甲乙双方在合同中自行约定。</w:t>
      </w:r>
    </w:p>
    <w:p w14:paraId="58D6A87C">
      <w:pPr>
        <w:pStyle w:val="14"/>
        <w:rPr>
          <w:rFonts w:ascii="宋体" w:hAnsi="宋体"/>
          <w:color w:val="000000"/>
          <w:sz w:val="24"/>
          <w:szCs w:val="24"/>
          <w:highlight w:val="none"/>
        </w:rPr>
      </w:pPr>
    </w:p>
    <w:p w14:paraId="0130EFF4">
      <w:pPr>
        <w:pStyle w:val="20"/>
        <w:numPr>
          <w:ilvl w:val="0"/>
          <w:numId w:val="0"/>
        </w:numPr>
        <w:rPr>
          <w:rFonts w:ascii="宋体" w:hAnsi="宋体"/>
          <w:color w:val="000000"/>
          <w:sz w:val="24"/>
          <w:szCs w:val="24"/>
          <w:highlight w:val="none"/>
        </w:rPr>
      </w:pPr>
    </w:p>
    <w:p w14:paraId="786140D7">
      <w:pPr>
        <w:pStyle w:val="20"/>
        <w:numPr>
          <w:ilvl w:val="0"/>
          <w:numId w:val="0"/>
        </w:numPr>
        <w:rPr>
          <w:rFonts w:ascii="宋体" w:hAnsi="宋体"/>
          <w:color w:val="000000"/>
          <w:sz w:val="24"/>
          <w:szCs w:val="24"/>
          <w:highlight w:val="none"/>
        </w:rPr>
      </w:pPr>
    </w:p>
    <w:p w14:paraId="1AF2FF99">
      <w:pPr>
        <w:pStyle w:val="20"/>
        <w:numPr>
          <w:ilvl w:val="0"/>
          <w:numId w:val="0"/>
        </w:numPr>
        <w:rPr>
          <w:rFonts w:ascii="宋体" w:hAnsi="宋体"/>
          <w:color w:val="000000"/>
          <w:sz w:val="24"/>
          <w:szCs w:val="24"/>
          <w:highlight w:val="none"/>
        </w:rPr>
      </w:pPr>
    </w:p>
    <w:p w14:paraId="0751C3CD">
      <w:pPr>
        <w:pStyle w:val="20"/>
        <w:numPr>
          <w:ilvl w:val="0"/>
          <w:numId w:val="0"/>
        </w:numPr>
        <w:rPr>
          <w:rFonts w:ascii="宋体" w:hAnsi="宋体"/>
          <w:color w:val="000000"/>
          <w:sz w:val="24"/>
          <w:szCs w:val="24"/>
          <w:highlight w:val="none"/>
        </w:rPr>
      </w:pPr>
    </w:p>
    <w:p w14:paraId="7C072396">
      <w:pPr>
        <w:pStyle w:val="20"/>
        <w:numPr>
          <w:ilvl w:val="0"/>
          <w:numId w:val="0"/>
        </w:numPr>
        <w:rPr>
          <w:rFonts w:ascii="宋体" w:hAnsi="宋体"/>
          <w:color w:val="000000"/>
          <w:sz w:val="24"/>
          <w:szCs w:val="24"/>
          <w:highlight w:val="none"/>
        </w:rPr>
      </w:pPr>
    </w:p>
    <w:p w14:paraId="5B0AF4F3">
      <w:pPr>
        <w:pStyle w:val="15"/>
        <w:ind w:firstLine="240"/>
        <w:rPr>
          <w:rFonts w:ascii="宋体" w:hAnsi="宋体"/>
          <w:color w:val="000000"/>
          <w:kern w:val="0"/>
          <w:sz w:val="24"/>
          <w:szCs w:val="24"/>
          <w:highlight w:val="none"/>
        </w:rPr>
      </w:pPr>
    </w:p>
    <w:p w14:paraId="196925E5">
      <w:pPr>
        <w:rPr>
          <w:highlight w:val="none"/>
        </w:rPr>
      </w:pPr>
    </w:p>
    <w:p w14:paraId="50364733">
      <w:pPr>
        <w:spacing w:line="360" w:lineRule="auto"/>
        <w:jc w:val="center"/>
        <w:outlineLvl w:val="0"/>
        <w:rPr>
          <w:rFonts w:ascii="宋体" w:hAnsi="宋体"/>
          <w:b/>
          <w:sz w:val="36"/>
          <w:szCs w:val="36"/>
          <w:highlight w:val="none"/>
        </w:rPr>
      </w:pPr>
      <w:bookmarkStart w:id="244" w:name="_Toc167975514"/>
      <w:r>
        <w:rPr>
          <w:rFonts w:hint="eastAsia" w:ascii="宋体" w:hAnsi="宋体"/>
          <w:b/>
          <w:sz w:val="36"/>
          <w:szCs w:val="36"/>
          <w:highlight w:val="none"/>
        </w:rPr>
        <w:t>第</w:t>
      </w:r>
      <w:r>
        <w:rPr>
          <w:rFonts w:hint="eastAsia" w:ascii="宋体" w:hAnsi="宋体"/>
          <w:b/>
          <w:sz w:val="36"/>
          <w:szCs w:val="36"/>
          <w:highlight w:val="none"/>
          <w:lang w:val="en-US" w:eastAsia="zh-CN"/>
        </w:rPr>
        <w:t>五</w:t>
      </w:r>
      <w:r>
        <w:rPr>
          <w:rFonts w:hint="eastAsia" w:ascii="宋体" w:hAnsi="宋体"/>
          <w:b/>
          <w:sz w:val="36"/>
          <w:szCs w:val="36"/>
          <w:highlight w:val="none"/>
        </w:rPr>
        <w:t>章</w:t>
      </w:r>
      <w:r>
        <w:rPr>
          <w:rFonts w:ascii="宋体" w:hAnsi="宋体"/>
          <w:b/>
          <w:sz w:val="36"/>
          <w:szCs w:val="36"/>
          <w:highlight w:val="none"/>
        </w:rPr>
        <w:t xml:space="preserve"> </w:t>
      </w:r>
      <w:r>
        <w:rPr>
          <w:rFonts w:hint="eastAsia" w:ascii="宋体" w:hAnsi="宋体"/>
          <w:b/>
          <w:sz w:val="36"/>
          <w:szCs w:val="36"/>
          <w:highlight w:val="none"/>
        </w:rPr>
        <w:t>附件（投标文件格式）</w:t>
      </w:r>
      <w:bookmarkEnd w:id="76"/>
      <w:bookmarkEnd w:id="77"/>
      <w:bookmarkEnd w:id="78"/>
      <w:bookmarkEnd w:id="244"/>
    </w:p>
    <w:p w14:paraId="1509B1C2">
      <w:pPr>
        <w:spacing w:line="360" w:lineRule="auto"/>
        <w:rPr>
          <w:rFonts w:ascii="宋体" w:hAnsi="宋体"/>
          <w:b/>
          <w:sz w:val="24"/>
          <w:szCs w:val="24"/>
          <w:highlight w:val="none"/>
        </w:rPr>
      </w:pPr>
      <w:bookmarkStart w:id="245" w:name="_Toc29240"/>
    </w:p>
    <w:p w14:paraId="17DA6AD7">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245"/>
    </w:p>
    <w:p w14:paraId="3345CEAE">
      <w:pPr>
        <w:spacing w:line="360" w:lineRule="auto"/>
        <w:jc w:val="center"/>
        <w:outlineLvl w:val="0"/>
        <w:rPr>
          <w:rFonts w:hint="eastAsia" w:ascii="宋体" w:hAnsi="宋体" w:eastAsia="宋体"/>
          <w:b/>
          <w:sz w:val="32"/>
          <w:szCs w:val="24"/>
          <w:highlight w:val="none"/>
          <w:lang w:eastAsia="zh-CN"/>
        </w:rPr>
      </w:pPr>
      <w:bookmarkStart w:id="246" w:name="_Toc2400"/>
      <w:r>
        <w:rPr>
          <w:rFonts w:hint="eastAsia" w:ascii="宋体" w:hAnsi="宋体"/>
          <w:b/>
          <w:sz w:val="32"/>
          <w:szCs w:val="24"/>
          <w:highlight w:val="none"/>
        </w:rPr>
        <w:t>项目编号：</w:t>
      </w:r>
      <w:bookmarkEnd w:id="246"/>
      <w:r>
        <w:rPr>
          <w:rFonts w:hint="eastAsia" w:ascii="宋体" w:hAnsi="宋体"/>
          <w:b/>
          <w:sz w:val="36"/>
          <w:szCs w:val="36"/>
          <w:highlight w:val="none"/>
          <w:lang w:eastAsia="zh-CN"/>
        </w:rPr>
        <w:t>YXGYJT202601012</w:t>
      </w:r>
    </w:p>
    <w:p w14:paraId="3710837E">
      <w:pPr>
        <w:spacing w:line="360" w:lineRule="auto"/>
        <w:jc w:val="center"/>
        <w:rPr>
          <w:rFonts w:ascii="宋体" w:hAnsi="宋体"/>
          <w:b/>
          <w:sz w:val="24"/>
          <w:szCs w:val="24"/>
          <w:highlight w:val="none"/>
        </w:rPr>
      </w:pPr>
    </w:p>
    <w:p w14:paraId="74802DFD">
      <w:pPr>
        <w:spacing w:line="360" w:lineRule="auto"/>
        <w:rPr>
          <w:rFonts w:ascii="宋体" w:hAnsi="宋体"/>
          <w:b/>
          <w:sz w:val="24"/>
          <w:szCs w:val="24"/>
          <w:highlight w:val="none"/>
        </w:rPr>
      </w:pPr>
    </w:p>
    <w:p w14:paraId="5D291D79">
      <w:pPr>
        <w:spacing w:line="360" w:lineRule="auto"/>
        <w:rPr>
          <w:rFonts w:ascii="宋体" w:hAnsi="宋体"/>
          <w:b/>
          <w:sz w:val="28"/>
          <w:szCs w:val="24"/>
          <w:highlight w:val="none"/>
        </w:rPr>
      </w:pPr>
    </w:p>
    <w:p w14:paraId="3627BB1E">
      <w:pPr>
        <w:spacing w:line="720" w:lineRule="auto"/>
        <w:rPr>
          <w:rFonts w:hint="eastAsia" w:ascii="宋体" w:hAnsi="宋体" w:eastAsia="宋体"/>
          <w:b/>
          <w:sz w:val="28"/>
          <w:szCs w:val="24"/>
          <w:highlight w:val="none"/>
          <w:u w:val="single"/>
          <w:lang w:eastAsia="zh-CN"/>
        </w:rPr>
      </w:pPr>
      <w:bookmarkStart w:id="247" w:name="_Toc10010"/>
      <w:r>
        <w:rPr>
          <w:rFonts w:hint="eastAsia" w:ascii="宋体" w:hAnsi="宋体"/>
          <w:b/>
          <w:sz w:val="28"/>
          <w:szCs w:val="24"/>
          <w:highlight w:val="none"/>
        </w:rPr>
        <w:t>项目名称：</w:t>
      </w:r>
      <w:bookmarkEnd w:id="247"/>
      <w:r>
        <w:rPr>
          <w:rFonts w:hint="eastAsia" w:ascii="宋体" w:hAnsi="宋体"/>
          <w:b/>
          <w:sz w:val="28"/>
          <w:szCs w:val="24"/>
          <w:highlight w:val="none"/>
          <w:u w:val="single"/>
          <w:lang w:eastAsia="zh-CN"/>
        </w:rPr>
        <w:t>太湖内源污染治理（太湖西岸宜兴近岸区域）2025-2026年度工程固化土及余水第三方检测服务</w:t>
      </w:r>
    </w:p>
    <w:p w14:paraId="01EAC2A8">
      <w:pPr>
        <w:spacing w:line="720" w:lineRule="auto"/>
        <w:rPr>
          <w:rFonts w:ascii="宋体" w:hAnsi="宋体"/>
          <w:b/>
          <w:sz w:val="28"/>
          <w:szCs w:val="24"/>
          <w:highlight w:val="none"/>
        </w:rPr>
      </w:pPr>
      <w:bookmarkStart w:id="248"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248"/>
    </w:p>
    <w:p w14:paraId="73B50447">
      <w:pPr>
        <w:spacing w:line="720" w:lineRule="auto"/>
        <w:rPr>
          <w:rFonts w:ascii="宋体" w:hAnsi="宋体"/>
          <w:sz w:val="28"/>
          <w:szCs w:val="24"/>
          <w:highlight w:val="none"/>
        </w:rPr>
      </w:pPr>
      <w:bookmarkStart w:id="249"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249"/>
    </w:p>
    <w:p w14:paraId="29FDF482">
      <w:pPr>
        <w:spacing w:line="360" w:lineRule="auto"/>
        <w:rPr>
          <w:rFonts w:ascii="宋体" w:hAnsi="宋体"/>
          <w:b/>
          <w:sz w:val="24"/>
          <w:szCs w:val="24"/>
          <w:highlight w:val="none"/>
        </w:rPr>
      </w:pPr>
    </w:p>
    <w:p w14:paraId="1EAA835B">
      <w:pPr>
        <w:spacing w:line="360" w:lineRule="auto"/>
        <w:rPr>
          <w:rFonts w:ascii="宋体" w:hAnsi="宋体"/>
          <w:b/>
          <w:sz w:val="24"/>
          <w:szCs w:val="24"/>
          <w:highlight w:val="none"/>
        </w:rPr>
      </w:pPr>
    </w:p>
    <w:p w14:paraId="765CDED1">
      <w:pPr>
        <w:spacing w:line="360" w:lineRule="auto"/>
        <w:rPr>
          <w:rFonts w:ascii="宋体" w:hAnsi="宋体"/>
          <w:b/>
          <w:sz w:val="24"/>
          <w:szCs w:val="24"/>
          <w:highlight w:val="none"/>
        </w:rPr>
      </w:pPr>
    </w:p>
    <w:p w14:paraId="15DC24C0">
      <w:pPr>
        <w:spacing w:line="360" w:lineRule="auto"/>
        <w:jc w:val="center"/>
        <w:rPr>
          <w:rFonts w:ascii="宋体" w:hAnsi="宋体"/>
          <w:b/>
          <w:sz w:val="28"/>
          <w:szCs w:val="28"/>
          <w:highlight w:val="none"/>
        </w:rPr>
      </w:pPr>
      <w:bookmarkStart w:id="250"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250"/>
    </w:p>
    <w:p w14:paraId="10DB717C">
      <w:pPr>
        <w:spacing w:line="360" w:lineRule="auto"/>
        <w:rPr>
          <w:rFonts w:ascii="宋体" w:hAnsi="宋体"/>
          <w:b/>
          <w:sz w:val="24"/>
          <w:szCs w:val="24"/>
          <w:highlight w:val="none"/>
        </w:rPr>
      </w:pPr>
    </w:p>
    <w:p w14:paraId="05E95993">
      <w:pPr>
        <w:spacing w:line="360" w:lineRule="auto"/>
        <w:rPr>
          <w:rFonts w:ascii="宋体" w:hAnsi="宋体"/>
          <w:b/>
          <w:sz w:val="24"/>
          <w:szCs w:val="24"/>
          <w:highlight w:val="none"/>
        </w:rPr>
      </w:pPr>
    </w:p>
    <w:p w14:paraId="3984F28A">
      <w:pPr>
        <w:pStyle w:val="14"/>
        <w:spacing w:line="360" w:lineRule="auto"/>
        <w:rPr>
          <w:rFonts w:ascii="宋体" w:hAnsi="宋体"/>
          <w:sz w:val="24"/>
          <w:szCs w:val="24"/>
          <w:highlight w:val="none"/>
        </w:rPr>
      </w:pPr>
    </w:p>
    <w:p w14:paraId="0D6CF3CC">
      <w:pPr>
        <w:pStyle w:val="14"/>
        <w:rPr>
          <w:highlight w:val="none"/>
        </w:rPr>
      </w:pPr>
    </w:p>
    <w:p w14:paraId="39D2154C">
      <w:pPr>
        <w:pStyle w:val="14"/>
        <w:rPr>
          <w:highlight w:val="none"/>
        </w:rPr>
      </w:pPr>
    </w:p>
    <w:p w14:paraId="627B339D">
      <w:pPr>
        <w:pStyle w:val="15"/>
        <w:rPr>
          <w:highlight w:val="none"/>
        </w:rPr>
      </w:pPr>
    </w:p>
    <w:p w14:paraId="44D684D6">
      <w:pPr>
        <w:pStyle w:val="15"/>
        <w:rPr>
          <w:highlight w:val="none"/>
        </w:rPr>
      </w:pPr>
    </w:p>
    <w:p w14:paraId="4BCD05E0">
      <w:pPr>
        <w:pStyle w:val="15"/>
        <w:rPr>
          <w:highlight w:val="none"/>
        </w:rPr>
      </w:pPr>
    </w:p>
    <w:p w14:paraId="48BF324E">
      <w:pPr>
        <w:pStyle w:val="15"/>
        <w:rPr>
          <w:highlight w:val="none"/>
        </w:rPr>
      </w:pPr>
    </w:p>
    <w:p w14:paraId="7FA026B2">
      <w:pPr>
        <w:pStyle w:val="14"/>
        <w:rPr>
          <w:highlight w:val="none"/>
        </w:rPr>
      </w:pPr>
    </w:p>
    <w:p w14:paraId="5E4B986E">
      <w:pPr>
        <w:pStyle w:val="14"/>
        <w:rPr>
          <w:highlight w:val="none"/>
        </w:rPr>
      </w:pPr>
    </w:p>
    <w:p w14:paraId="21135A09">
      <w:pPr>
        <w:pStyle w:val="15"/>
        <w:ind w:firstLine="200"/>
        <w:rPr>
          <w:highlight w:val="none"/>
        </w:rPr>
      </w:pPr>
    </w:p>
    <w:p w14:paraId="42D3E07F">
      <w:pPr>
        <w:pStyle w:val="15"/>
        <w:ind w:firstLine="200"/>
        <w:rPr>
          <w:highlight w:val="none"/>
        </w:rPr>
      </w:pPr>
    </w:p>
    <w:p w14:paraId="59C1E63B">
      <w:pPr>
        <w:spacing w:line="360" w:lineRule="auto"/>
        <w:rPr>
          <w:rFonts w:ascii="宋体" w:hAnsi="宋体"/>
          <w:b/>
          <w:bCs/>
          <w:sz w:val="24"/>
          <w:szCs w:val="24"/>
          <w:highlight w:val="none"/>
        </w:rPr>
      </w:pPr>
      <w:bookmarkStart w:id="251" w:name="OLE_LINK24"/>
      <w:bookmarkStart w:id="252" w:name="_Toc24602"/>
      <w:r>
        <w:rPr>
          <w:rFonts w:hint="eastAsia" w:ascii="宋体" w:hAnsi="宋体"/>
          <w:bCs/>
          <w:sz w:val="24"/>
          <w:szCs w:val="24"/>
          <w:highlight w:val="none"/>
        </w:rPr>
        <w:t>（一）投标函（格式）：</w:t>
      </w:r>
    </w:p>
    <w:bookmarkEnd w:id="251"/>
    <w:p w14:paraId="1B54C0A8">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4242B120">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致江苏宜公投蓝藻资源开发有限公司、江苏鸿成工程项目管理有限公司：</w:t>
      </w:r>
    </w:p>
    <w:p w14:paraId="36F51CF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我方收到你们YXGYJT202601012招标文件，经仔细阅读和研究，我方决定参加投标。</w:t>
      </w:r>
    </w:p>
    <w:p w14:paraId="3070E3FA">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279F0CE2">
      <w:pPr>
        <w:numPr>
          <w:ilvl w:val="0"/>
          <w:numId w:val="14"/>
        </w:numPr>
        <w:spacing w:line="360" w:lineRule="auto"/>
        <w:ind w:firstLine="480" w:firstLineChars="200"/>
        <w:rPr>
          <w:rFonts w:hint="eastAsia" w:ascii="宋体" w:hAnsi="宋体"/>
          <w:bCs/>
          <w:color w:val="000000"/>
          <w:sz w:val="24"/>
          <w:highlight w:val="none"/>
          <w:lang w:val="zh-CN"/>
        </w:rPr>
      </w:pPr>
      <w:r>
        <w:rPr>
          <w:rFonts w:hint="eastAsia" w:ascii="宋体" w:hAnsi="宋体"/>
          <w:bCs/>
          <w:color w:val="000000"/>
          <w:sz w:val="24"/>
          <w:highlight w:val="none"/>
          <w:lang w:val="zh-CN"/>
        </w:rPr>
        <w:t>我方已对照采购服务的技术参数要求，填写了投标服务的技术参数要求，详见《偏离</w:t>
      </w:r>
    </w:p>
    <w:p w14:paraId="0D57CAAD">
      <w:pPr>
        <w:numPr>
          <w:ilvl w:val="0"/>
          <w:numId w:val="0"/>
        </w:num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表》。</w:t>
      </w:r>
    </w:p>
    <w:p w14:paraId="68C30CF1">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7765FEBC">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5DC7BA00">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68E6D176">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7608FAE3">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2AF4B0BC">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44FBDB63">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57F3E4C1">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028843D9">
      <w:pPr>
        <w:numPr>
          <w:ilvl w:val="0"/>
          <w:numId w:val="14"/>
        </w:numPr>
        <w:spacing w:line="360" w:lineRule="auto"/>
        <w:ind w:firstLine="480" w:firstLineChars="200"/>
        <w:rPr>
          <w:rFonts w:ascii="宋体" w:hAnsi="宋体"/>
          <w:bCs/>
          <w:color w:val="000000"/>
          <w:sz w:val="24"/>
          <w:highlight w:val="none"/>
          <w:lang w:val="zh-CN"/>
        </w:rPr>
      </w:pPr>
      <w:bookmarkStart w:id="253" w:name="OLE_LINK231"/>
      <w:bookmarkStart w:id="254" w:name="OLE_LINK281"/>
      <w:r>
        <w:rPr>
          <w:rFonts w:hint="eastAsia" w:ascii="宋体" w:hAnsi="宋体"/>
          <w:bCs/>
          <w:color w:val="000000"/>
          <w:sz w:val="24"/>
          <w:highlight w:val="none"/>
          <w:lang w:val="zh-CN"/>
        </w:rPr>
        <w:t>我方不是为本项目提供整体设计、规范编制或者项目管理、监理、检测等服务的供应商。</w:t>
      </w:r>
      <w:bookmarkEnd w:id="253"/>
    </w:p>
    <w:p w14:paraId="305419EA">
      <w:pPr>
        <w:numPr>
          <w:ilvl w:val="0"/>
          <w:numId w:val="14"/>
        </w:numPr>
        <w:spacing w:line="360" w:lineRule="auto"/>
        <w:ind w:firstLine="480" w:firstLineChars="200"/>
        <w:rPr>
          <w:rFonts w:ascii="宋体" w:hAnsi="宋体"/>
          <w:bCs/>
          <w:color w:val="000000"/>
          <w:sz w:val="24"/>
          <w:highlight w:val="none"/>
          <w:lang w:val="zh-CN"/>
        </w:rPr>
      </w:pPr>
      <w:bookmarkStart w:id="255"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9BD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71F3EF5D">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与我方</w:t>
            </w:r>
            <w:r>
              <w:rPr>
                <w:rFonts w:hint="eastAsia" w:ascii="宋体" w:hAnsi="宋体"/>
                <w:bCs/>
                <w:color w:val="000000"/>
                <w:sz w:val="24"/>
                <w:szCs w:val="20"/>
                <w:highlight w:val="none"/>
              </w:rPr>
              <w:t>单位负责人为同一人的其他单位</w:t>
            </w:r>
          </w:p>
        </w:tc>
        <w:tc>
          <w:tcPr>
            <w:tcW w:w="4680" w:type="dxa"/>
            <w:vAlign w:val="center"/>
          </w:tcPr>
          <w:p w14:paraId="40398721">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p>
        </w:tc>
      </w:tr>
      <w:tr w14:paraId="6C21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32DB2B03">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与我方</w:t>
            </w:r>
            <w:r>
              <w:rPr>
                <w:rFonts w:hint="eastAsia" w:ascii="宋体" w:hAnsi="宋体"/>
                <w:bCs/>
                <w:color w:val="000000"/>
                <w:sz w:val="24"/>
                <w:szCs w:val="20"/>
                <w:highlight w:val="none"/>
              </w:rPr>
              <w:t>存在直接控股、管理关系的其他单位</w:t>
            </w:r>
          </w:p>
        </w:tc>
        <w:tc>
          <w:tcPr>
            <w:tcW w:w="4680" w:type="dxa"/>
            <w:vAlign w:val="center"/>
          </w:tcPr>
          <w:p w14:paraId="17AF13DB">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p>
        </w:tc>
      </w:tr>
    </w:tbl>
    <w:p w14:paraId="4A238118">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5E2FE7D0">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57B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F2FFFD">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地址</w:t>
            </w:r>
          </w:p>
        </w:tc>
        <w:tc>
          <w:tcPr>
            <w:tcW w:w="2823" w:type="dxa"/>
            <w:vAlign w:val="center"/>
          </w:tcPr>
          <w:p w14:paraId="0621EB7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6EECEDC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邮编</w:t>
            </w:r>
          </w:p>
        </w:tc>
        <w:tc>
          <w:tcPr>
            <w:tcW w:w="3675" w:type="dxa"/>
            <w:vAlign w:val="center"/>
          </w:tcPr>
          <w:p w14:paraId="289F8DDE">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4B1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4D73081">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传真</w:t>
            </w:r>
          </w:p>
        </w:tc>
        <w:tc>
          <w:tcPr>
            <w:tcW w:w="2823" w:type="dxa"/>
            <w:vAlign w:val="center"/>
          </w:tcPr>
          <w:p w14:paraId="36647471">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00E5AEF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办公电话</w:t>
            </w:r>
          </w:p>
        </w:tc>
        <w:tc>
          <w:tcPr>
            <w:tcW w:w="3675" w:type="dxa"/>
            <w:vAlign w:val="center"/>
          </w:tcPr>
          <w:p w14:paraId="419D01F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27E7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ADA748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rPr>
            </w:pPr>
            <w:r>
              <w:rPr>
                <w:rFonts w:hint="eastAsia" w:ascii="宋体" w:hAnsi="宋体"/>
                <w:bCs/>
                <w:color w:val="000000"/>
                <w:sz w:val="24"/>
                <w:szCs w:val="20"/>
                <w:highlight w:val="none"/>
              </w:rPr>
              <w:t>法定代表人</w:t>
            </w:r>
          </w:p>
        </w:tc>
        <w:tc>
          <w:tcPr>
            <w:tcW w:w="2823" w:type="dxa"/>
            <w:vAlign w:val="center"/>
          </w:tcPr>
          <w:p w14:paraId="463DFFE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10B0FB6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手机号码</w:t>
            </w:r>
          </w:p>
        </w:tc>
        <w:tc>
          <w:tcPr>
            <w:tcW w:w="3675" w:type="dxa"/>
            <w:vAlign w:val="center"/>
          </w:tcPr>
          <w:p w14:paraId="609A4A8B">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044F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0F459C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联系人</w:t>
            </w:r>
          </w:p>
        </w:tc>
        <w:tc>
          <w:tcPr>
            <w:tcW w:w="2823" w:type="dxa"/>
            <w:vAlign w:val="center"/>
          </w:tcPr>
          <w:p w14:paraId="4EF0C13F">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00C62CD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手机号码</w:t>
            </w:r>
          </w:p>
        </w:tc>
        <w:tc>
          <w:tcPr>
            <w:tcW w:w="3675" w:type="dxa"/>
            <w:vAlign w:val="center"/>
          </w:tcPr>
          <w:p w14:paraId="511F2E8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0CEC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D4F58B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开户名称</w:t>
            </w:r>
          </w:p>
        </w:tc>
        <w:tc>
          <w:tcPr>
            <w:tcW w:w="7750" w:type="dxa"/>
            <w:gridSpan w:val="3"/>
            <w:vAlign w:val="center"/>
          </w:tcPr>
          <w:p w14:paraId="3A9B013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6C2B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F9E7EF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开户银行</w:t>
            </w:r>
          </w:p>
        </w:tc>
        <w:tc>
          <w:tcPr>
            <w:tcW w:w="2823" w:type="dxa"/>
            <w:vAlign w:val="center"/>
          </w:tcPr>
          <w:p w14:paraId="42498F0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2DFA23EB">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开户账号</w:t>
            </w:r>
          </w:p>
        </w:tc>
        <w:tc>
          <w:tcPr>
            <w:tcW w:w="3675" w:type="dxa"/>
            <w:vAlign w:val="center"/>
          </w:tcPr>
          <w:p w14:paraId="65FA486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bookmarkEnd w:id="254"/>
      <w:bookmarkEnd w:id="255"/>
    </w:tbl>
    <w:p w14:paraId="66444050">
      <w:pPr>
        <w:rPr>
          <w:rFonts w:ascii="黑体" w:hAnsi="宋体" w:eastAsia="黑体"/>
          <w:bCs/>
          <w:color w:val="000000"/>
          <w:sz w:val="24"/>
          <w:szCs w:val="24"/>
          <w:highlight w:val="none"/>
        </w:rPr>
      </w:pPr>
      <w:bookmarkStart w:id="256" w:name="OLE_LINK146"/>
    </w:p>
    <w:p w14:paraId="72B06BF2">
      <w:pPr>
        <w:rPr>
          <w:rFonts w:ascii="黑体" w:hAnsi="宋体" w:eastAsia="黑体"/>
          <w:bCs/>
          <w:color w:val="000000"/>
          <w:sz w:val="24"/>
          <w:szCs w:val="24"/>
          <w:highlight w:val="none"/>
        </w:rPr>
      </w:pPr>
    </w:p>
    <w:p w14:paraId="6DA3CC60">
      <w:pPr>
        <w:rPr>
          <w:rFonts w:ascii="黑体" w:hAnsi="宋体" w:eastAsia="黑体"/>
          <w:bCs/>
          <w:color w:val="000000"/>
          <w:sz w:val="24"/>
          <w:szCs w:val="24"/>
          <w:highlight w:val="none"/>
        </w:rPr>
      </w:pPr>
    </w:p>
    <w:p w14:paraId="2DC5C5CF">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182BF165">
      <w:pPr>
        <w:rPr>
          <w:sz w:val="20"/>
          <w:highlight w:val="none"/>
          <w:lang w:val="zh-CN"/>
        </w:rPr>
      </w:pPr>
    </w:p>
    <w:p w14:paraId="78FD8C53">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256"/>
    <w:p w14:paraId="11B0B23D">
      <w:pPr>
        <w:spacing w:line="360" w:lineRule="auto"/>
        <w:rPr>
          <w:rFonts w:ascii="宋体" w:hAnsi="宋体"/>
          <w:bCs/>
          <w:sz w:val="24"/>
          <w:szCs w:val="24"/>
          <w:highlight w:val="none"/>
        </w:rPr>
        <w:sectPr>
          <w:footerReference r:id="rId7" w:type="default"/>
          <w:pgSz w:w="11906" w:h="16838"/>
          <w:pgMar w:top="850" w:right="850" w:bottom="850" w:left="850" w:header="397" w:footer="397" w:gutter="0"/>
          <w:pgNumType w:fmt="numberInDash"/>
          <w:cols w:space="0" w:num="1"/>
          <w:rtlGutter w:val="0"/>
          <w:docGrid w:linePitch="312" w:charSpace="0"/>
        </w:sectPr>
      </w:pPr>
    </w:p>
    <w:p w14:paraId="4B3A0827">
      <w:pPr>
        <w:rPr>
          <w:rFonts w:ascii="宋体" w:hAnsi="宋体"/>
          <w:bCs/>
          <w:sz w:val="24"/>
          <w:szCs w:val="24"/>
          <w:highlight w:val="none"/>
        </w:rPr>
      </w:pPr>
      <w:r>
        <w:rPr>
          <w:rFonts w:hint="eastAsia" w:ascii="宋体" w:hAnsi="宋体"/>
          <w:bCs/>
          <w:sz w:val="24"/>
          <w:szCs w:val="24"/>
          <w:highlight w:val="none"/>
        </w:rPr>
        <w:t>（二）报价文件：</w:t>
      </w:r>
    </w:p>
    <w:p w14:paraId="1E004916">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252"/>
    </w:p>
    <w:p w14:paraId="4767C138">
      <w:pPr>
        <w:tabs>
          <w:tab w:val="left" w:pos="3105"/>
          <w:tab w:val="center" w:pos="4819"/>
        </w:tabs>
        <w:spacing w:before="120" w:beforeLines="50" w:after="120" w:afterLines="50"/>
        <w:jc w:val="center"/>
        <w:rPr>
          <w:rFonts w:ascii="宋体" w:hAnsi="宋体"/>
          <w:sz w:val="24"/>
          <w:szCs w:val="24"/>
          <w:highlight w:val="none"/>
        </w:rPr>
      </w:pPr>
      <w:bookmarkStart w:id="257" w:name="_Toc32423"/>
      <w:r>
        <w:rPr>
          <w:rFonts w:hint="eastAsia" w:ascii="宋体" w:hAnsi="宋体"/>
          <w:bCs/>
          <w:sz w:val="24"/>
          <w:szCs w:val="24"/>
          <w:highlight w:val="none"/>
        </w:rPr>
        <w:t>开标一览表</w:t>
      </w:r>
      <w:bookmarkEnd w:id="257"/>
    </w:p>
    <w:p w14:paraId="053824B5">
      <w:pPr>
        <w:spacing w:before="120" w:beforeLines="50" w:after="120" w:afterLines="50"/>
        <w:rPr>
          <w:rFonts w:ascii="宋体" w:hAnsi="宋体"/>
          <w:sz w:val="24"/>
          <w:szCs w:val="24"/>
          <w:highlight w:val="none"/>
        </w:rPr>
      </w:pPr>
      <w:bookmarkStart w:id="258" w:name="OLE_LINK31"/>
      <w:r>
        <w:rPr>
          <w:rFonts w:hint="eastAsia" w:ascii="宋体" w:hAnsi="宋体"/>
          <w:sz w:val="24"/>
          <w:szCs w:val="24"/>
          <w:highlight w:val="none"/>
        </w:rPr>
        <w:t>项目名称：</w:t>
      </w:r>
      <w:r>
        <w:rPr>
          <w:rFonts w:hint="eastAsia" w:ascii="宋体" w:hAnsi="宋体"/>
          <w:sz w:val="24"/>
          <w:szCs w:val="24"/>
          <w:highlight w:val="none"/>
          <w:lang w:eastAsia="zh-CN"/>
        </w:rPr>
        <w:t>太湖内源污染治理（太湖西岸宜兴近岸区域）2025-2026年度工程固化土及余水第三方检测服务</w:t>
      </w:r>
      <w:r>
        <w:rPr>
          <w:rFonts w:ascii="宋体" w:hAnsi="宋体"/>
          <w:sz w:val="24"/>
          <w:szCs w:val="24"/>
          <w:highlight w:val="none"/>
        </w:rPr>
        <w:t xml:space="preserve">                     </w:t>
      </w:r>
    </w:p>
    <w:p w14:paraId="662AF09B">
      <w:pPr>
        <w:rPr>
          <w:rFonts w:hint="eastAsia" w:ascii="宋体" w:hAnsi="宋体"/>
          <w:sz w:val="24"/>
          <w:szCs w:val="24"/>
          <w:highlight w:val="none"/>
        </w:rPr>
      </w:pPr>
      <w:r>
        <w:rPr>
          <w:rFonts w:hint="eastAsia" w:ascii="宋体" w:hAnsi="宋体"/>
          <w:sz w:val="24"/>
          <w:szCs w:val="24"/>
          <w:highlight w:val="none"/>
        </w:rPr>
        <w:t>项目编号：</w:t>
      </w:r>
      <w:r>
        <w:rPr>
          <w:rFonts w:hint="eastAsia" w:ascii="宋体" w:hAnsi="宋体"/>
          <w:sz w:val="24"/>
          <w:szCs w:val="24"/>
          <w:highlight w:val="none"/>
          <w:lang w:eastAsia="zh-CN"/>
        </w:rPr>
        <w:t>YXGYJT202601012</w:t>
      </w:r>
      <w:r>
        <w:rPr>
          <w:rFonts w:hint="eastAsia" w:ascii="宋体" w:hAnsi="宋体"/>
          <w:sz w:val="24"/>
          <w:szCs w:val="24"/>
          <w:highlight w:val="none"/>
        </w:rPr>
        <w:t xml:space="preserve">                                                                       </w:t>
      </w:r>
      <w:bookmarkEnd w:id="258"/>
    </w:p>
    <w:p w14:paraId="78F8AB4B">
      <w:pPr>
        <w:spacing w:line="360" w:lineRule="auto"/>
        <w:ind w:right="720"/>
        <w:jc w:val="both"/>
        <w:rPr>
          <w:rFonts w:ascii="宋体" w:hAnsi="宋体"/>
          <w:bCs/>
          <w:sz w:val="24"/>
          <w:highlight w:val="none"/>
          <w:lang w:val="zh-CN"/>
        </w:rPr>
      </w:pPr>
      <w:bookmarkStart w:id="259" w:name="OLE_LINK32"/>
    </w:p>
    <w:p w14:paraId="6E5DFBDB">
      <w:pPr>
        <w:spacing w:line="360" w:lineRule="auto"/>
        <w:ind w:right="720"/>
        <w:jc w:val="right"/>
        <w:rPr>
          <w:rFonts w:hint="eastAsia" w:ascii="宋体" w:hAnsi="宋体"/>
          <w:bCs/>
          <w:sz w:val="24"/>
          <w:highlight w:val="none"/>
          <w:lang w:val="en-US" w:eastAsia="zh-CN"/>
        </w:rPr>
      </w:pPr>
      <w:r>
        <w:rPr>
          <w:rFonts w:hint="eastAsia" w:ascii="宋体" w:hAnsi="宋体"/>
          <w:bCs/>
          <w:sz w:val="24"/>
          <w:highlight w:val="none"/>
          <w:lang w:val="en-US" w:eastAsia="zh-CN"/>
        </w:rPr>
        <w:t>单位：元</w:t>
      </w:r>
    </w:p>
    <w:tbl>
      <w:tblPr>
        <w:tblStyle w:val="35"/>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2509"/>
        <w:gridCol w:w="2096"/>
        <w:gridCol w:w="2032"/>
      </w:tblGrid>
      <w:tr w14:paraId="1FE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2723B4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eastAsia="宋体"/>
                <w:b/>
                <w:bCs/>
                <w:color w:val="000000"/>
                <w:sz w:val="24"/>
                <w:szCs w:val="24"/>
                <w:highlight w:val="none"/>
                <w:lang w:val="en-US" w:eastAsia="zh-CN"/>
              </w:rPr>
              <w:t>报价</w:t>
            </w:r>
          </w:p>
        </w:tc>
        <w:tc>
          <w:tcPr>
            <w:tcW w:w="2509" w:type="dxa"/>
            <w:vAlign w:val="center"/>
          </w:tcPr>
          <w:p w14:paraId="77D316B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不含税报价总价</w:t>
            </w:r>
          </w:p>
        </w:tc>
        <w:tc>
          <w:tcPr>
            <w:tcW w:w="2096" w:type="dxa"/>
            <w:vAlign w:val="center"/>
          </w:tcPr>
          <w:p w14:paraId="02E720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含税报价总价</w:t>
            </w:r>
          </w:p>
        </w:tc>
        <w:tc>
          <w:tcPr>
            <w:tcW w:w="2032" w:type="dxa"/>
            <w:vAlign w:val="center"/>
          </w:tcPr>
          <w:p w14:paraId="5C8EC42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43C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exact"/>
          <w:jc w:val="center"/>
        </w:trPr>
        <w:tc>
          <w:tcPr>
            <w:tcW w:w="3640" w:type="dxa"/>
            <w:vAlign w:val="center"/>
          </w:tcPr>
          <w:p w14:paraId="4E8C767A">
            <w:pPr>
              <w:keepNext w:val="0"/>
              <w:keepLines w:val="0"/>
              <w:suppressLineNumbers w:val="0"/>
              <w:spacing w:before="0" w:beforeAutospacing="0" w:after="0" w:afterAutospacing="0" w:line="400" w:lineRule="exact"/>
              <w:ind w:left="0" w:right="0"/>
              <w:jc w:val="center"/>
              <w:rPr>
                <w:rFonts w:hint="default" w:ascii="宋体" w:hAnsi="宋体" w:eastAsia="宋体"/>
                <w:bCs/>
                <w:color w:val="000000"/>
                <w:kern w:val="0"/>
                <w:sz w:val="24"/>
                <w:szCs w:val="24"/>
                <w:highlight w:val="none"/>
                <w:u w:color="000000"/>
                <w:lang w:val="en-US" w:eastAsia="zh-CN"/>
              </w:rPr>
            </w:pPr>
            <w:r>
              <w:rPr>
                <w:rFonts w:hint="eastAsia" w:ascii="宋体" w:hAnsi="宋体"/>
                <w:sz w:val="24"/>
                <w:szCs w:val="24"/>
                <w:highlight w:val="none"/>
                <w:lang w:eastAsia="zh-CN"/>
              </w:rPr>
              <w:t>太湖内源污染治理（太湖西岸宜兴近岸区域）2025-2026年度工程固化土及余水第三方检测服务</w:t>
            </w:r>
            <w:r>
              <w:rPr>
                <w:rFonts w:hint="default" w:ascii="宋体" w:hAnsi="宋体"/>
                <w:sz w:val="24"/>
                <w:szCs w:val="24"/>
                <w:highlight w:val="none"/>
              </w:rPr>
              <w:t xml:space="preserve">    </w:t>
            </w:r>
          </w:p>
        </w:tc>
        <w:tc>
          <w:tcPr>
            <w:tcW w:w="2509" w:type="dxa"/>
            <w:vAlign w:val="center"/>
          </w:tcPr>
          <w:p w14:paraId="78E10F40">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highlight w:val="none"/>
                <w:u w:color="000000"/>
              </w:rPr>
            </w:pPr>
          </w:p>
        </w:tc>
        <w:tc>
          <w:tcPr>
            <w:tcW w:w="2096" w:type="dxa"/>
            <w:vAlign w:val="center"/>
          </w:tcPr>
          <w:p w14:paraId="320DD83A">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highlight w:val="none"/>
                <w:u w:color="000000"/>
              </w:rPr>
            </w:pPr>
          </w:p>
        </w:tc>
        <w:tc>
          <w:tcPr>
            <w:tcW w:w="2032" w:type="dxa"/>
            <w:vAlign w:val="center"/>
          </w:tcPr>
          <w:p w14:paraId="42D5FA81">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r w14:paraId="1F7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435292DE">
            <w:pPr>
              <w:keepNext w:val="0"/>
              <w:keepLines w:val="0"/>
              <w:suppressLineNumbers w:val="0"/>
              <w:spacing w:before="0" w:beforeAutospacing="0" w:after="0" w:afterAutospacing="0"/>
              <w:ind w:left="0" w:right="0"/>
              <w:jc w:val="center"/>
              <w:rPr>
                <w:rFonts w:hint="default"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6637" w:type="dxa"/>
            <w:gridSpan w:val="3"/>
            <w:vAlign w:val="center"/>
          </w:tcPr>
          <w:p w14:paraId="659327A6">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r w14:paraId="5554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3D239A57">
            <w:pPr>
              <w:keepNext w:val="0"/>
              <w:keepLines w:val="0"/>
              <w:suppressLineNumbers w:val="0"/>
              <w:spacing w:before="0" w:beforeAutospacing="0" w:after="0" w:afterAutospacing="0"/>
              <w:ind w:left="0" w:right="0"/>
              <w:jc w:val="center"/>
              <w:rPr>
                <w:rFonts w:hint="default"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6637" w:type="dxa"/>
            <w:gridSpan w:val="3"/>
            <w:vAlign w:val="center"/>
          </w:tcPr>
          <w:p w14:paraId="11E57850">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bl>
    <w:p w14:paraId="3CAF7FC4">
      <w:pPr>
        <w:spacing w:line="360" w:lineRule="auto"/>
        <w:ind w:right="720"/>
        <w:jc w:val="both"/>
        <w:rPr>
          <w:rFonts w:ascii="宋体" w:hAnsi="宋体"/>
          <w:bCs/>
          <w:sz w:val="24"/>
          <w:highlight w:val="none"/>
          <w:lang w:val="zh-CN"/>
        </w:rPr>
      </w:pPr>
    </w:p>
    <w:p w14:paraId="2C1CB6EC">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080BAD1D">
      <w:pPr>
        <w:pStyle w:val="14"/>
        <w:spacing w:line="360" w:lineRule="auto"/>
        <w:ind w:left="4550" w:hanging="4550" w:hangingChars="2275"/>
        <w:rPr>
          <w:highlight w:val="none"/>
          <w:lang w:val="zh-CN"/>
        </w:rPr>
      </w:pPr>
    </w:p>
    <w:p w14:paraId="34462261">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75B2A57F">
      <w:pPr>
        <w:spacing w:line="360" w:lineRule="auto"/>
        <w:jc w:val="left"/>
        <w:rPr>
          <w:rFonts w:ascii="宋体" w:hAnsi="宋体"/>
          <w:bCs/>
          <w:sz w:val="24"/>
          <w:szCs w:val="24"/>
          <w:highlight w:val="none"/>
          <w:lang w:val="zh-CN"/>
        </w:rPr>
      </w:pPr>
    </w:p>
    <w:bookmarkEnd w:id="259"/>
    <w:p w14:paraId="289719A9">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525E2599">
      <w:pPr>
        <w:spacing w:line="360" w:lineRule="auto"/>
        <w:ind w:firstLine="480" w:firstLineChars="200"/>
        <w:rPr>
          <w:rFonts w:hint="eastAsia"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本项目投标报价包括供应商承担该项目全部所需的所有设备费、劳务费、管理费、材料费、利润、税金、保险、政策性文件规定费用、参与此次项目所有人员的住宿费、水电费、交通费、通讯费等以及合同明示或暗示的一般风险、责任和义务等一切因实施本项目产生的全部费用。</w:t>
      </w:r>
    </w:p>
    <w:p w14:paraId="6F45E93A">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②</w:t>
      </w:r>
      <w:r>
        <w:rPr>
          <w:rFonts w:hint="eastAsia" w:ascii="宋体" w:hAnsi="宋体"/>
          <w:bCs/>
          <w:sz w:val="24"/>
          <w:szCs w:val="24"/>
          <w:highlight w:val="none"/>
        </w:rPr>
        <w:t>本项目的费用总价在合同实施期间不因项目的服务期延长等因素而调整。中标价一经确定，不作调整。</w:t>
      </w:r>
    </w:p>
    <w:p w14:paraId="63CBBBE5">
      <w:pPr>
        <w:pStyle w:val="137"/>
        <w:tabs>
          <w:tab w:val="left" w:pos="3105"/>
          <w:tab w:val="center" w:pos="4819"/>
        </w:tabs>
        <w:spacing w:before="120" w:beforeLines="50" w:after="120" w:afterLines="50"/>
        <w:jc w:val="left"/>
        <w:rPr>
          <w:bCs/>
          <w:highlight w:val="none"/>
        </w:rPr>
        <w:sectPr>
          <w:pgSz w:w="11906" w:h="16838"/>
          <w:pgMar w:top="850" w:right="850" w:bottom="850" w:left="850" w:header="397" w:footer="397" w:gutter="0"/>
          <w:pgNumType w:fmt="numberInDash"/>
          <w:cols w:space="0" w:num="1"/>
          <w:rtlGutter w:val="0"/>
          <w:docGrid w:linePitch="312" w:charSpace="0"/>
        </w:sectPr>
      </w:pPr>
      <w:bookmarkStart w:id="260" w:name="_Toc4946"/>
    </w:p>
    <w:bookmarkEnd w:id="260"/>
    <w:p w14:paraId="42757C0F">
      <w:pPr>
        <w:spacing w:line="360" w:lineRule="auto"/>
        <w:rPr>
          <w:rFonts w:ascii="宋体" w:hAnsi="宋体"/>
          <w:bCs/>
          <w:sz w:val="24"/>
          <w:szCs w:val="24"/>
          <w:highlight w:val="none"/>
        </w:rPr>
      </w:pPr>
      <w:bookmarkStart w:id="261" w:name="_Toc8000"/>
      <w:r>
        <w:rPr>
          <w:rFonts w:hint="eastAsia" w:ascii="宋体" w:hAnsi="宋体"/>
          <w:bCs/>
          <w:sz w:val="24"/>
          <w:szCs w:val="24"/>
          <w:highlight w:val="none"/>
        </w:rPr>
        <w:t>（三）资格证明文件</w:t>
      </w:r>
    </w:p>
    <w:p w14:paraId="1F8F424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261"/>
    </w:p>
    <w:p w14:paraId="17A3AD7B">
      <w:pPr>
        <w:spacing w:before="120" w:beforeLines="50" w:after="120" w:afterLines="50" w:line="360" w:lineRule="auto"/>
        <w:jc w:val="center"/>
        <w:rPr>
          <w:rFonts w:ascii="宋体" w:hAnsi="宋体"/>
          <w:bCs/>
          <w:sz w:val="24"/>
          <w:szCs w:val="24"/>
          <w:highlight w:val="none"/>
        </w:rPr>
      </w:pPr>
      <w:bookmarkStart w:id="262" w:name="报价方关于资格的声明函（格式）"/>
      <w:bookmarkEnd w:id="262"/>
      <w:bookmarkStart w:id="263" w:name="_Toc24943"/>
      <w:r>
        <w:rPr>
          <w:rFonts w:hint="eastAsia" w:ascii="宋体" w:hAnsi="宋体"/>
          <w:bCs/>
          <w:sz w:val="24"/>
          <w:szCs w:val="24"/>
          <w:highlight w:val="none"/>
        </w:rPr>
        <w:t>关于资格的声明函</w:t>
      </w:r>
      <w:bookmarkEnd w:id="263"/>
    </w:p>
    <w:p w14:paraId="35DDA2AD">
      <w:pPr>
        <w:spacing w:line="360" w:lineRule="auto"/>
        <w:jc w:val="center"/>
        <w:rPr>
          <w:rFonts w:hint="eastAsia" w:ascii="宋体" w:hAnsi="宋体" w:eastAsia="宋体"/>
          <w:bCs/>
          <w:sz w:val="24"/>
          <w:szCs w:val="24"/>
          <w:highlight w:val="none"/>
          <w:lang w:eastAsia="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264" w:name="OLE_LINK80"/>
      <w:r>
        <w:rPr>
          <w:rFonts w:hint="eastAsia" w:ascii="宋体" w:hAnsi="宋体"/>
          <w:bCs/>
          <w:sz w:val="24"/>
          <w:szCs w:val="24"/>
          <w:highlight w:val="none"/>
        </w:rPr>
        <w:t xml:space="preserve">    项目编号：</w:t>
      </w:r>
      <w:r>
        <w:rPr>
          <w:rFonts w:hint="eastAsia" w:ascii="宋体" w:hAnsi="宋体"/>
          <w:bCs/>
          <w:sz w:val="24"/>
          <w:szCs w:val="24"/>
          <w:highlight w:val="none"/>
          <w:lang w:eastAsia="zh-CN"/>
        </w:rPr>
        <w:t>YXGYJT202601012</w:t>
      </w:r>
    </w:p>
    <w:p w14:paraId="0C46C49E">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768A67F4">
      <w:pPr>
        <w:spacing w:line="360" w:lineRule="auto"/>
        <w:jc w:val="center"/>
        <w:rPr>
          <w:rFonts w:ascii="宋体" w:hAnsi="宋体"/>
          <w:bCs/>
          <w:sz w:val="24"/>
          <w:szCs w:val="24"/>
          <w:highlight w:val="none"/>
        </w:rPr>
      </w:pPr>
    </w:p>
    <w:bookmarkEnd w:id="264"/>
    <w:p w14:paraId="5F0A1B17">
      <w:pPr>
        <w:spacing w:line="480" w:lineRule="auto"/>
        <w:rPr>
          <w:rFonts w:ascii="宋体" w:hAnsi="宋体"/>
          <w:bCs/>
          <w:sz w:val="24"/>
          <w:szCs w:val="24"/>
          <w:highlight w:val="none"/>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p>
    <w:p w14:paraId="7BA956E5">
      <w:pPr>
        <w:spacing w:line="480" w:lineRule="auto"/>
        <w:rPr>
          <w:rFonts w:ascii="宋体" w:hAnsi="宋体"/>
          <w:bCs/>
          <w:sz w:val="24"/>
          <w:szCs w:val="24"/>
          <w:highlight w:val="none"/>
        </w:rPr>
      </w:pPr>
      <w:r>
        <w:rPr>
          <w:rFonts w:ascii="宋体" w:hAnsi="宋体"/>
          <w:bCs/>
          <w:sz w:val="24"/>
          <w:szCs w:val="24"/>
          <w:highlight w:val="none"/>
        </w:rPr>
        <w:t xml:space="preserve">    </w:t>
      </w:r>
      <w:bookmarkStart w:id="265" w:name="OLE_LINK243"/>
      <w:r>
        <w:rPr>
          <w:rFonts w:hint="eastAsia" w:ascii="宋体" w:hAnsi="宋体"/>
          <w:bCs/>
          <w:color w:val="000000"/>
          <w:sz w:val="24"/>
          <w:szCs w:val="24"/>
          <w:highlight w:val="none"/>
        </w:rPr>
        <w:t>我公司参加贵单位</w:t>
      </w:r>
      <w:r>
        <w:rPr>
          <w:rFonts w:hint="eastAsia" w:ascii="宋体" w:hAnsi="宋体"/>
          <w:bCs/>
          <w:color w:val="000000"/>
          <w:sz w:val="24"/>
          <w:szCs w:val="24"/>
          <w:highlight w:val="none"/>
          <w:lang w:eastAsia="zh-CN"/>
        </w:rPr>
        <w:t>太湖内源污染治理（太湖西岸宜兴近岸区域）2025-2026年度工程固化土及余水第三方检测服务</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YXGYJT202601012</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266" w:name="OLE_LINK242"/>
      <w:r>
        <w:rPr>
          <w:rFonts w:hint="eastAsia" w:ascii="宋体" w:hAnsi="宋体" w:cs="宋体"/>
          <w:color w:val="000000"/>
          <w:kern w:val="0"/>
          <w:sz w:val="24"/>
          <w:szCs w:val="24"/>
          <w:highlight w:val="none"/>
          <w:lang w:bidi="ar"/>
        </w:rPr>
        <w:t>有效期限</w:t>
      </w:r>
      <w:bookmarkEnd w:id="266"/>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265"/>
      <w:r>
        <w:rPr>
          <w:rFonts w:hint="eastAsia" w:ascii="宋体" w:hAnsi="宋体"/>
          <w:bCs/>
          <w:color w:val="000000"/>
          <w:sz w:val="24"/>
          <w:szCs w:val="24"/>
          <w:highlight w:val="none"/>
        </w:rPr>
        <w:t>我公司（单位）愿针对本次项目（</w:t>
      </w:r>
      <w:r>
        <w:rPr>
          <w:rFonts w:hint="eastAsia" w:ascii="宋体" w:hAnsi="宋体"/>
          <w:bCs/>
          <w:color w:val="000000"/>
          <w:sz w:val="24"/>
          <w:szCs w:val="24"/>
          <w:highlight w:val="none"/>
          <w:lang w:eastAsia="zh-CN"/>
        </w:rPr>
        <w:t>YXGYJT202601012</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5EA9D06C">
      <w:pPr>
        <w:spacing w:line="360" w:lineRule="auto"/>
        <w:rPr>
          <w:rFonts w:ascii="宋体" w:hAnsi="宋体"/>
          <w:sz w:val="24"/>
          <w:szCs w:val="24"/>
          <w:highlight w:val="none"/>
        </w:rPr>
      </w:pPr>
      <w:r>
        <w:rPr>
          <w:rFonts w:ascii="宋体" w:hAnsi="宋体"/>
          <w:bCs/>
          <w:sz w:val="24"/>
          <w:szCs w:val="24"/>
          <w:highlight w:val="none"/>
        </w:rPr>
        <w:t xml:space="preserve">                                     </w:t>
      </w:r>
      <w:bookmarkStart w:id="267" w:name="OLE_LINK81"/>
    </w:p>
    <w:p w14:paraId="035D0FEC">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049478EB">
      <w:pPr>
        <w:pStyle w:val="14"/>
        <w:rPr>
          <w:highlight w:val="none"/>
          <w:lang w:val="zh-CN"/>
        </w:rPr>
      </w:pPr>
    </w:p>
    <w:p w14:paraId="5D9C6A4B">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267"/>
    <w:p w14:paraId="40F000A1">
      <w:pPr>
        <w:spacing w:line="360" w:lineRule="auto"/>
        <w:jc w:val="center"/>
        <w:rPr>
          <w:rFonts w:ascii="宋体" w:hAnsi="宋体"/>
          <w:bCs/>
          <w:sz w:val="24"/>
          <w:szCs w:val="24"/>
          <w:highlight w:val="none"/>
        </w:rPr>
      </w:pPr>
      <w:bookmarkStart w:id="268" w:name="OLE_LINK36"/>
    </w:p>
    <w:p w14:paraId="4ECEF97F">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1AB43F">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667FBF46"/>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1E1AB43F">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667FBF46"/>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CE57B2">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2BCE57B2">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v:textbox>
              </v:shape>
            </w:pict>
          </mc:Fallback>
        </mc:AlternateContent>
      </w:r>
    </w:p>
    <w:p w14:paraId="78966E74">
      <w:pPr>
        <w:spacing w:line="360" w:lineRule="auto"/>
        <w:rPr>
          <w:rFonts w:ascii="宋体" w:hAnsi="宋体"/>
          <w:bCs/>
          <w:sz w:val="24"/>
          <w:szCs w:val="24"/>
          <w:highlight w:val="none"/>
        </w:rPr>
      </w:pPr>
    </w:p>
    <w:p w14:paraId="32BE7B66">
      <w:pPr>
        <w:spacing w:line="360" w:lineRule="auto"/>
        <w:jc w:val="center"/>
        <w:rPr>
          <w:rFonts w:ascii="宋体" w:hAnsi="宋体"/>
          <w:bCs/>
          <w:sz w:val="24"/>
          <w:szCs w:val="24"/>
          <w:highlight w:val="none"/>
        </w:rPr>
      </w:pPr>
    </w:p>
    <w:p w14:paraId="702EE83E">
      <w:pPr>
        <w:spacing w:line="360" w:lineRule="auto"/>
        <w:jc w:val="center"/>
        <w:rPr>
          <w:rFonts w:ascii="宋体" w:hAnsi="宋体"/>
          <w:bCs/>
          <w:sz w:val="24"/>
          <w:szCs w:val="24"/>
          <w:highlight w:val="none"/>
        </w:rPr>
      </w:pPr>
    </w:p>
    <w:bookmarkEnd w:id="268"/>
    <w:p w14:paraId="3125FB20">
      <w:pPr>
        <w:spacing w:line="360" w:lineRule="auto"/>
        <w:rPr>
          <w:rFonts w:ascii="宋体" w:hAnsi="宋体"/>
          <w:bCs/>
          <w:sz w:val="24"/>
          <w:szCs w:val="24"/>
          <w:highlight w:val="none"/>
        </w:rPr>
      </w:pPr>
    </w:p>
    <w:p w14:paraId="7B6019AB">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50F4B87A">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361A985A">
      <w:pPr>
        <w:tabs>
          <w:tab w:val="left" w:pos="255"/>
        </w:tabs>
        <w:spacing w:line="360" w:lineRule="auto"/>
        <w:ind w:left="420" w:leftChars="200"/>
        <w:rPr>
          <w:rFonts w:hint="eastAsia" w:ascii="宋体" w:hAnsi="宋体" w:eastAsia="宋体"/>
          <w:sz w:val="24"/>
          <w:szCs w:val="24"/>
          <w:highlight w:val="none"/>
          <w:lang w:val="zh-CN" w:eastAsia="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lang w:eastAsia="zh-CN"/>
        </w:rPr>
        <w:t>YXGYJT202601012</w:t>
      </w:r>
    </w:p>
    <w:p w14:paraId="693C5137">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1A72D123">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23B3AAD4">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60370FEF">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6BA7FDA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0702E6A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7D47BA1C">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58264D6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1E85F7D7">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22152C9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5D16F7EA">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p>
    <w:p w14:paraId="555394B6">
      <w:pPr>
        <w:tabs>
          <w:tab w:val="left" w:pos="255"/>
        </w:tabs>
        <w:spacing w:line="360" w:lineRule="auto"/>
        <w:ind w:firstLine="5280" w:firstLineChars="2200"/>
        <w:rPr>
          <w:rFonts w:ascii="宋体" w:hAnsi="宋体"/>
          <w:sz w:val="24"/>
          <w:szCs w:val="24"/>
          <w:highlight w:val="none"/>
          <w:lang w:val="zh-CN"/>
        </w:rPr>
      </w:pPr>
      <w:r>
        <w:rPr>
          <w:rFonts w:hint="eastAsia" w:ascii="宋体" w:hAnsi="宋体"/>
          <w:sz w:val="24"/>
          <w:szCs w:val="24"/>
          <w:highlight w:val="none"/>
          <w:lang w:val="zh-CN"/>
        </w:rPr>
        <w:t>单位名称（公章）：</w:t>
      </w:r>
    </w:p>
    <w:p w14:paraId="1931F13F">
      <w:pPr>
        <w:pStyle w:val="14"/>
        <w:tabs>
          <w:tab w:val="left" w:pos="255"/>
        </w:tabs>
        <w:spacing w:line="360" w:lineRule="auto"/>
        <w:ind w:left="420" w:leftChars="200" w:firstLine="400" w:firstLineChars="200"/>
        <w:rPr>
          <w:highlight w:val="none"/>
          <w:lang w:val="zh-CN"/>
        </w:rPr>
      </w:pPr>
    </w:p>
    <w:p w14:paraId="26FB610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r>
        <w:rPr>
          <w:rFonts w:hint="eastAsia" w:ascii="宋体" w:hAnsi="宋体"/>
          <w:sz w:val="24"/>
          <w:szCs w:val="24"/>
          <w:highlight w:val="none"/>
        </w:rPr>
        <w:t>或签章</w:t>
      </w:r>
      <w:r>
        <w:rPr>
          <w:rFonts w:hint="eastAsia" w:ascii="宋体" w:hAnsi="宋体"/>
          <w:sz w:val="24"/>
          <w:szCs w:val="24"/>
          <w:highlight w:val="none"/>
          <w:lang w:val="zh-CN"/>
        </w:rPr>
        <w:t>：</w:t>
      </w:r>
    </w:p>
    <w:p w14:paraId="17D9D4B7">
      <w:pPr>
        <w:spacing w:line="360" w:lineRule="auto"/>
        <w:rPr>
          <w:rFonts w:ascii="宋体" w:hAnsi="宋体"/>
          <w:bCs/>
          <w:sz w:val="24"/>
          <w:szCs w:val="24"/>
          <w:highlight w:val="none"/>
        </w:rPr>
      </w:pPr>
    </w:p>
    <w:p w14:paraId="18E5F6F6">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D2047A">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765E6BE8">
                            <w:pPr>
                              <w:jc w:val="center"/>
                              <w:rPr>
                                <w:rFonts w:ascii="楷体_GB2312" w:eastAsia="楷体_GB2312"/>
                                <w:sz w:val="28"/>
                                <w:szCs w:val="28"/>
                              </w:rPr>
                            </w:pPr>
                            <w:r>
                              <w:rPr>
                                <w:rFonts w:hint="eastAsia" w:ascii="楷体_GB2312" w:eastAsia="楷体_GB2312"/>
                                <w:sz w:val="28"/>
                                <w:szCs w:val="28"/>
                              </w:rPr>
                              <w:t>反面</w:t>
                            </w:r>
                          </w:p>
                          <w:p w14:paraId="3416B954">
                            <w:pPr>
                              <w:jc w:val="center"/>
                              <w:rPr>
                                <w:rFonts w:ascii="楷体_GB2312" w:eastAsia="楷体_GB2312"/>
                                <w:sz w:val="28"/>
                                <w:szCs w:val="28"/>
                              </w:rPr>
                            </w:pPr>
                          </w:p>
                          <w:p w14:paraId="6B8292D8"/>
                          <w:p w14:paraId="29042D9B">
                            <w:pPr>
                              <w:jc w:val="left"/>
                              <w:rPr>
                                <w:rFonts w:ascii="黑体" w:eastAsia="黑体"/>
                                <w:sz w:val="32"/>
                                <w:szCs w:val="32"/>
                              </w:rPr>
                            </w:pPr>
                          </w:p>
                          <w:p w14:paraId="2342628B">
                            <w:pPr>
                              <w:jc w:val="cente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0AD2047A">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765E6BE8">
                      <w:pPr>
                        <w:jc w:val="center"/>
                        <w:rPr>
                          <w:rFonts w:ascii="楷体_GB2312" w:eastAsia="楷体_GB2312"/>
                          <w:sz w:val="28"/>
                          <w:szCs w:val="28"/>
                        </w:rPr>
                      </w:pPr>
                      <w:r>
                        <w:rPr>
                          <w:rFonts w:hint="eastAsia" w:ascii="楷体_GB2312" w:eastAsia="楷体_GB2312"/>
                          <w:sz w:val="28"/>
                          <w:szCs w:val="28"/>
                        </w:rPr>
                        <w:t>反面</w:t>
                      </w:r>
                    </w:p>
                    <w:p w14:paraId="3416B954">
                      <w:pPr>
                        <w:jc w:val="center"/>
                        <w:rPr>
                          <w:rFonts w:ascii="楷体_GB2312" w:eastAsia="楷体_GB2312"/>
                          <w:sz w:val="28"/>
                          <w:szCs w:val="28"/>
                        </w:rPr>
                      </w:pPr>
                    </w:p>
                    <w:p w14:paraId="6B8292D8"/>
                    <w:p w14:paraId="29042D9B">
                      <w:pPr>
                        <w:jc w:val="left"/>
                        <w:rPr>
                          <w:rFonts w:ascii="黑体" w:eastAsia="黑体"/>
                          <w:sz w:val="32"/>
                          <w:szCs w:val="32"/>
                        </w:rPr>
                      </w:pPr>
                    </w:p>
                    <w:p w14:paraId="2342628B">
                      <w:pPr>
                        <w:jc w:val="center"/>
                      </w:pPr>
                    </w:p>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4CABBC">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0258DAC9">
                            <w:pPr>
                              <w:jc w:val="center"/>
                              <w:rPr>
                                <w:rFonts w:ascii="楷体_GB2312" w:eastAsia="楷体_GB2312"/>
                                <w:sz w:val="28"/>
                                <w:szCs w:val="28"/>
                              </w:rPr>
                            </w:pPr>
                            <w:r>
                              <w:rPr>
                                <w:rFonts w:hint="eastAsia" w:ascii="楷体_GB2312" w:eastAsia="楷体_GB2312"/>
                                <w:sz w:val="28"/>
                                <w:szCs w:val="28"/>
                              </w:rPr>
                              <w:t>正面</w:t>
                            </w:r>
                          </w:p>
                          <w:p w14:paraId="57E8C703">
                            <w:pPr>
                              <w:jc w:val="center"/>
                              <w:rPr>
                                <w:rFonts w:ascii="楷体_GB2312" w:eastAsia="楷体_GB2312"/>
                                <w:sz w:val="28"/>
                                <w:szCs w:val="28"/>
                              </w:rPr>
                            </w:pPr>
                          </w:p>
                          <w:p w14:paraId="50C1E605"/>
                          <w:p w14:paraId="2B25AC49"/>
                          <w:p w14:paraId="6C352D7F">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774CABBC">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0258DAC9">
                      <w:pPr>
                        <w:jc w:val="center"/>
                        <w:rPr>
                          <w:rFonts w:ascii="楷体_GB2312" w:eastAsia="楷体_GB2312"/>
                          <w:sz w:val="28"/>
                          <w:szCs w:val="28"/>
                        </w:rPr>
                      </w:pPr>
                      <w:r>
                        <w:rPr>
                          <w:rFonts w:hint="eastAsia" w:ascii="楷体_GB2312" w:eastAsia="楷体_GB2312"/>
                          <w:sz w:val="28"/>
                          <w:szCs w:val="28"/>
                        </w:rPr>
                        <w:t>正面</w:t>
                      </w:r>
                    </w:p>
                    <w:p w14:paraId="57E8C703">
                      <w:pPr>
                        <w:jc w:val="center"/>
                        <w:rPr>
                          <w:rFonts w:ascii="楷体_GB2312" w:eastAsia="楷体_GB2312"/>
                          <w:sz w:val="28"/>
                          <w:szCs w:val="28"/>
                        </w:rPr>
                      </w:pPr>
                    </w:p>
                    <w:p w14:paraId="50C1E605"/>
                    <w:p w14:paraId="2B25AC49"/>
                    <w:p w14:paraId="6C352D7F">
                      <w:pPr>
                        <w:spacing w:line="360" w:lineRule="auto"/>
                        <w:rPr>
                          <w:rFonts w:ascii="宋体" w:hAnsi="宋体"/>
                          <w:sz w:val="24"/>
                          <w:szCs w:val="24"/>
                        </w:rPr>
                      </w:pPr>
                    </w:p>
                  </w:txbxContent>
                </v:textbox>
              </v:shape>
            </w:pict>
          </mc:Fallback>
        </mc:AlternateContent>
      </w:r>
    </w:p>
    <w:p w14:paraId="5D62E5CE">
      <w:pPr>
        <w:spacing w:line="360" w:lineRule="auto"/>
        <w:rPr>
          <w:rFonts w:ascii="宋体" w:hAnsi="宋体"/>
          <w:bCs/>
          <w:sz w:val="24"/>
          <w:szCs w:val="24"/>
          <w:highlight w:val="none"/>
        </w:rPr>
      </w:pPr>
    </w:p>
    <w:p w14:paraId="41C3BCA9">
      <w:pPr>
        <w:spacing w:line="360" w:lineRule="auto"/>
        <w:jc w:val="center"/>
        <w:rPr>
          <w:rFonts w:ascii="宋体" w:hAnsi="宋体"/>
          <w:bCs/>
          <w:sz w:val="24"/>
          <w:szCs w:val="24"/>
          <w:highlight w:val="none"/>
        </w:rPr>
      </w:pPr>
    </w:p>
    <w:p w14:paraId="31D70C1D">
      <w:pPr>
        <w:spacing w:line="360" w:lineRule="auto"/>
        <w:jc w:val="center"/>
        <w:rPr>
          <w:rFonts w:ascii="宋体" w:hAnsi="宋体"/>
          <w:bCs/>
          <w:sz w:val="24"/>
          <w:szCs w:val="24"/>
          <w:highlight w:val="none"/>
        </w:rPr>
      </w:pPr>
    </w:p>
    <w:p w14:paraId="6A906B48">
      <w:pPr>
        <w:spacing w:line="360" w:lineRule="auto"/>
        <w:ind w:firstLine="480" w:firstLineChars="200"/>
        <w:rPr>
          <w:rFonts w:ascii="宋体" w:hAnsi="宋体"/>
          <w:bCs/>
          <w:sz w:val="24"/>
          <w:szCs w:val="24"/>
          <w:highlight w:val="none"/>
        </w:rPr>
      </w:pPr>
    </w:p>
    <w:p w14:paraId="3BAAE34B">
      <w:pPr>
        <w:spacing w:line="360" w:lineRule="auto"/>
        <w:rPr>
          <w:rFonts w:ascii="宋体" w:hAnsi="宋体"/>
          <w:bCs/>
          <w:sz w:val="24"/>
          <w:szCs w:val="24"/>
          <w:highlight w:val="none"/>
        </w:rPr>
      </w:pPr>
    </w:p>
    <w:p w14:paraId="2BAE7775">
      <w:pPr>
        <w:spacing w:line="360" w:lineRule="auto"/>
        <w:ind w:firstLine="480" w:firstLineChars="200"/>
        <w:rPr>
          <w:rFonts w:ascii="宋体" w:hAnsi="宋体"/>
          <w:bCs/>
          <w:sz w:val="24"/>
          <w:szCs w:val="24"/>
          <w:highlight w:val="none"/>
        </w:rPr>
      </w:pPr>
      <w:bookmarkStart w:id="269" w:name="_Toc27231"/>
    </w:p>
    <w:p w14:paraId="4229964A">
      <w:pPr>
        <w:spacing w:line="360" w:lineRule="auto"/>
        <w:ind w:firstLine="422" w:firstLineChars="200"/>
        <w:rPr>
          <w:rFonts w:ascii="宋体" w:hAnsi="宋体" w:cs="宋体"/>
          <w:b/>
          <w:szCs w:val="21"/>
          <w:highlight w:val="none"/>
        </w:rPr>
      </w:pPr>
    </w:p>
    <w:p w14:paraId="6CA4977E">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269"/>
    </w:p>
    <w:p w14:paraId="0264335B">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698089DB">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2A4F25EC">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3D7F921A">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697487D5">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5676F882">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1B9AEEC0">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供应商为法人或其他组织的提供营业执照或法人（登记）证书，供应商为自然人的提供自然人身份证；</w:t>
      </w:r>
      <w:r>
        <w:rPr>
          <w:rFonts w:hint="eastAsia" w:hAnsi="宋体" w:cs="宋体"/>
          <w:b/>
          <w:szCs w:val="24"/>
          <w:highlight w:val="none"/>
        </w:rPr>
        <w:t>（开标时提供原件或公证件）</w:t>
      </w:r>
    </w:p>
    <w:p w14:paraId="04B7441B">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55499D1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41A926B6">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3169D59C">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099440B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7FE4DF9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27E278B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1BB6940D">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7B54636F">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154027F">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C70CFA1">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07F40E94">
      <w:pPr>
        <w:pStyle w:val="31"/>
        <w:keepNext w:val="0"/>
        <w:keepLines w:val="0"/>
        <w:widowControl w:val="0"/>
        <w:suppressLineNumbers w:val="0"/>
        <w:spacing w:before="0" w:beforeAutospacing="0" w:after="0" w:afterAutospacing="0" w:line="276" w:lineRule="auto"/>
        <w:ind w:left="0" w:right="0"/>
        <w:jc w:val="both"/>
        <w:rPr>
          <w:highlight w:val="none"/>
          <w:lang w:val="zh-CN" w:eastAsia="zh-CN"/>
        </w:rPr>
      </w:pPr>
      <w:r>
        <w:rPr>
          <w:rFonts w:hint="eastAsia" w:ascii="宋体" w:hAnsi="宋体" w:cs="宋体"/>
          <w:b/>
          <w:sz w:val="24"/>
          <w:szCs w:val="24"/>
          <w:highlight w:val="none"/>
          <w:lang w:val="en-US" w:eastAsia="zh-CN"/>
        </w:rPr>
        <w:t xml:space="preserve">    </w:t>
      </w: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10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highlight w:val="none"/>
        </w:rPr>
        <w:t>⑩</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r>
        <w:rPr>
          <w:rFonts w:hint="eastAsia" w:hAnsi="Times New Roman" w:cs="Times New Roman"/>
          <w:kern w:val="0"/>
          <w:sz w:val="24"/>
          <w:szCs w:val="20"/>
          <w:highlight w:val="none"/>
          <w:u w:color="000000"/>
          <w:lang w:val="en-US" w:eastAsia="zh-CN" w:bidi="ar"/>
        </w:rPr>
        <w:t>复印件</w:t>
      </w:r>
      <w:r>
        <w:rPr>
          <w:rFonts w:hint="eastAsia" w:ascii="宋体" w:hAnsi="Times New Roman" w:eastAsia="宋体" w:cs="Times New Roman"/>
          <w:kern w:val="0"/>
          <w:sz w:val="24"/>
          <w:szCs w:val="20"/>
          <w:highlight w:val="none"/>
          <w:u w:color="000000"/>
          <w:lang w:val="zh-CN" w:eastAsia="zh-CN" w:bidi="ar"/>
        </w:rPr>
        <w:t>；</w:t>
      </w:r>
    </w:p>
    <w:p w14:paraId="52DBF44A">
      <w:pPr>
        <w:tabs>
          <w:tab w:val="left" w:pos="0"/>
          <w:tab w:val="left" w:pos="255"/>
        </w:tabs>
        <w:spacing w:line="360" w:lineRule="auto"/>
        <w:ind w:firstLine="480" w:firstLineChars="200"/>
        <w:contextualSpacing/>
        <w:rPr>
          <w:rFonts w:hint="default" w:ascii="宋体" w:hAnsi="宋体" w:eastAsia="宋体" w:cs="宋体"/>
          <w:b/>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⑪</w:t>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p w14:paraId="1D11F07F">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p w14:paraId="3DCB5259">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270"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lang w:val="en-US" w:eastAsia="zh-CN"/>
        </w:rPr>
        <w:t>三</w:t>
      </w:r>
      <w:r>
        <w:rPr>
          <w:rFonts w:ascii="黑体" w:hAnsi="宋体" w:eastAsia="黑体"/>
          <w:bCs/>
          <w:color w:val="000000"/>
          <w:sz w:val="24"/>
          <w:szCs w:val="24"/>
          <w:highlight w:val="none"/>
        </w:rPr>
        <w:t>章“项目技术要求和有关说明”中要求提供的相关证明材料（如有自行添加）：</w:t>
      </w:r>
    </w:p>
    <w:p w14:paraId="328CEB32">
      <w:pPr>
        <w:spacing w:line="360" w:lineRule="auto"/>
        <w:rPr>
          <w:rFonts w:ascii="宋体" w:hAnsi="宋体"/>
          <w:bCs/>
          <w:sz w:val="24"/>
          <w:szCs w:val="24"/>
          <w:highlight w:val="none"/>
        </w:rPr>
      </w:pPr>
    </w:p>
    <w:p w14:paraId="1C8BEE4C">
      <w:pPr>
        <w:pStyle w:val="14"/>
        <w:ind w:firstLine="400" w:firstLineChars="200"/>
        <w:rPr>
          <w:highlight w:val="none"/>
        </w:rPr>
      </w:pPr>
    </w:p>
    <w:p w14:paraId="7832B667">
      <w:pPr>
        <w:pStyle w:val="14"/>
        <w:ind w:firstLine="400" w:firstLineChars="200"/>
        <w:rPr>
          <w:highlight w:val="none"/>
        </w:rPr>
      </w:pPr>
    </w:p>
    <w:p w14:paraId="47996BC5">
      <w:pPr>
        <w:pStyle w:val="14"/>
        <w:ind w:firstLine="400" w:firstLineChars="200"/>
        <w:rPr>
          <w:highlight w:val="none"/>
        </w:rPr>
      </w:pPr>
    </w:p>
    <w:p w14:paraId="06797A94">
      <w:pPr>
        <w:pStyle w:val="14"/>
        <w:ind w:firstLine="400" w:firstLineChars="200"/>
        <w:rPr>
          <w:highlight w:val="none"/>
        </w:rPr>
      </w:pPr>
    </w:p>
    <w:p w14:paraId="0AB17299">
      <w:pPr>
        <w:pStyle w:val="14"/>
        <w:ind w:firstLine="400" w:firstLineChars="200"/>
        <w:rPr>
          <w:highlight w:val="none"/>
        </w:rPr>
      </w:pPr>
    </w:p>
    <w:p w14:paraId="2878DDCA">
      <w:pPr>
        <w:pStyle w:val="14"/>
        <w:ind w:firstLine="400" w:firstLineChars="200"/>
        <w:rPr>
          <w:highlight w:val="none"/>
        </w:rPr>
      </w:pPr>
    </w:p>
    <w:p w14:paraId="15A5AF99">
      <w:pPr>
        <w:pStyle w:val="14"/>
        <w:ind w:firstLine="400" w:firstLineChars="200"/>
        <w:rPr>
          <w:highlight w:val="none"/>
        </w:rPr>
      </w:pPr>
    </w:p>
    <w:p w14:paraId="54E01F64">
      <w:pPr>
        <w:pStyle w:val="14"/>
        <w:ind w:firstLine="400" w:firstLineChars="200"/>
        <w:rPr>
          <w:highlight w:val="none"/>
        </w:rPr>
      </w:pPr>
    </w:p>
    <w:p w14:paraId="3A54FC12">
      <w:pPr>
        <w:pStyle w:val="14"/>
        <w:ind w:firstLine="400" w:firstLineChars="200"/>
        <w:rPr>
          <w:highlight w:val="none"/>
        </w:rPr>
      </w:pPr>
    </w:p>
    <w:p w14:paraId="5CDD3BB7">
      <w:pPr>
        <w:pStyle w:val="14"/>
        <w:ind w:firstLine="400" w:firstLineChars="200"/>
        <w:rPr>
          <w:highlight w:val="none"/>
        </w:rPr>
      </w:pPr>
    </w:p>
    <w:p w14:paraId="66876239">
      <w:pPr>
        <w:pStyle w:val="14"/>
        <w:ind w:firstLine="400" w:firstLineChars="200"/>
        <w:rPr>
          <w:highlight w:val="none"/>
        </w:rPr>
      </w:pPr>
    </w:p>
    <w:p w14:paraId="5CD9CA49">
      <w:pPr>
        <w:pStyle w:val="14"/>
        <w:ind w:firstLine="400" w:firstLineChars="200"/>
        <w:rPr>
          <w:highlight w:val="none"/>
        </w:rPr>
      </w:pPr>
    </w:p>
    <w:p w14:paraId="3E9E6E47">
      <w:pPr>
        <w:pStyle w:val="14"/>
        <w:ind w:firstLine="400" w:firstLineChars="200"/>
        <w:rPr>
          <w:highlight w:val="none"/>
        </w:rPr>
      </w:pPr>
    </w:p>
    <w:p w14:paraId="5E29EBFA">
      <w:pPr>
        <w:pStyle w:val="14"/>
        <w:ind w:firstLine="400" w:firstLineChars="200"/>
        <w:rPr>
          <w:highlight w:val="none"/>
        </w:rPr>
      </w:pPr>
    </w:p>
    <w:p w14:paraId="5C2C8ABA">
      <w:pPr>
        <w:pStyle w:val="14"/>
        <w:ind w:firstLine="400" w:firstLineChars="200"/>
        <w:rPr>
          <w:highlight w:val="none"/>
        </w:rPr>
      </w:pPr>
    </w:p>
    <w:p w14:paraId="5B7E976C">
      <w:pPr>
        <w:pStyle w:val="14"/>
        <w:ind w:firstLine="400" w:firstLineChars="200"/>
        <w:rPr>
          <w:highlight w:val="none"/>
        </w:rPr>
      </w:pPr>
    </w:p>
    <w:p w14:paraId="39A35F52">
      <w:pPr>
        <w:pStyle w:val="14"/>
        <w:ind w:firstLine="400" w:firstLineChars="200"/>
        <w:rPr>
          <w:highlight w:val="none"/>
        </w:rPr>
      </w:pPr>
    </w:p>
    <w:p w14:paraId="409565EB">
      <w:pPr>
        <w:pStyle w:val="14"/>
        <w:ind w:firstLine="400" w:firstLineChars="200"/>
        <w:rPr>
          <w:highlight w:val="none"/>
        </w:rPr>
      </w:pPr>
    </w:p>
    <w:p w14:paraId="4BFDB1D4">
      <w:pPr>
        <w:pStyle w:val="14"/>
        <w:ind w:firstLine="400" w:firstLineChars="200"/>
        <w:rPr>
          <w:highlight w:val="none"/>
        </w:rPr>
      </w:pPr>
    </w:p>
    <w:p w14:paraId="5AD26E25">
      <w:pPr>
        <w:pStyle w:val="14"/>
        <w:ind w:firstLine="400" w:firstLineChars="200"/>
        <w:rPr>
          <w:highlight w:val="none"/>
        </w:rPr>
      </w:pPr>
    </w:p>
    <w:p w14:paraId="06F6F65F">
      <w:pPr>
        <w:pStyle w:val="14"/>
        <w:ind w:firstLine="400" w:firstLineChars="200"/>
        <w:rPr>
          <w:highlight w:val="none"/>
        </w:rPr>
      </w:pPr>
    </w:p>
    <w:p w14:paraId="02D6258F">
      <w:pPr>
        <w:pStyle w:val="14"/>
        <w:ind w:firstLine="400" w:firstLineChars="200"/>
        <w:rPr>
          <w:highlight w:val="none"/>
        </w:rPr>
      </w:pPr>
    </w:p>
    <w:p w14:paraId="7647DEC4">
      <w:pPr>
        <w:pStyle w:val="14"/>
        <w:ind w:firstLine="400" w:firstLineChars="200"/>
        <w:rPr>
          <w:highlight w:val="none"/>
        </w:rPr>
      </w:pPr>
    </w:p>
    <w:p w14:paraId="0F7980A2">
      <w:pPr>
        <w:pStyle w:val="14"/>
        <w:ind w:firstLine="400" w:firstLineChars="200"/>
        <w:rPr>
          <w:highlight w:val="none"/>
        </w:rPr>
      </w:pPr>
    </w:p>
    <w:p w14:paraId="291F4B1A">
      <w:pPr>
        <w:pStyle w:val="14"/>
        <w:ind w:firstLine="400" w:firstLineChars="200"/>
        <w:rPr>
          <w:highlight w:val="none"/>
        </w:rPr>
      </w:pPr>
    </w:p>
    <w:p w14:paraId="64EA8CC5">
      <w:pPr>
        <w:pStyle w:val="14"/>
        <w:ind w:firstLine="400" w:firstLineChars="200"/>
        <w:rPr>
          <w:highlight w:val="none"/>
        </w:rPr>
      </w:pPr>
    </w:p>
    <w:p w14:paraId="743C1B34">
      <w:pPr>
        <w:pStyle w:val="14"/>
        <w:ind w:firstLine="400" w:firstLineChars="200"/>
        <w:rPr>
          <w:highlight w:val="none"/>
        </w:rPr>
      </w:pPr>
    </w:p>
    <w:p w14:paraId="030BCD57">
      <w:pPr>
        <w:pStyle w:val="14"/>
        <w:ind w:firstLine="400" w:firstLineChars="200"/>
        <w:rPr>
          <w:highlight w:val="none"/>
        </w:rPr>
      </w:pPr>
    </w:p>
    <w:p w14:paraId="7AC7610C">
      <w:pPr>
        <w:pStyle w:val="14"/>
        <w:ind w:firstLine="400" w:firstLineChars="200"/>
        <w:rPr>
          <w:highlight w:val="none"/>
        </w:rPr>
      </w:pPr>
    </w:p>
    <w:p w14:paraId="744D97D4">
      <w:pPr>
        <w:pStyle w:val="14"/>
        <w:ind w:firstLine="400" w:firstLineChars="200"/>
        <w:rPr>
          <w:highlight w:val="none"/>
        </w:rPr>
      </w:pPr>
    </w:p>
    <w:p w14:paraId="23946329">
      <w:pPr>
        <w:pStyle w:val="14"/>
        <w:ind w:firstLine="400" w:firstLineChars="200"/>
        <w:rPr>
          <w:highlight w:val="none"/>
        </w:rPr>
      </w:pPr>
    </w:p>
    <w:p w14:paraId="32D556F0">
      <w:pPr>
        <w:pStyle w:val="14"/>
        <w:ind w:firstLine="400" w:firstLineChars="200"/>
        <w:rPr>
          <w:highlight w:val="none"/>
        </w:rPr>
      </w:pPr>
    </w:p>
    <w:p w14:paraId="43103F40">
      <w:pPr>
        <w:pStyle w:val="15"/>
        <w:rPr>
          <w:highlight w:val="none"/>
        </w:rPr>
      </w:pPr>
    </w:p>
    <w:p w14:paraId="45B6EE5A">
      <w:pPr>
        <w:pStyle w:val="15"/>
        <w:rPr>
          <w:highlight w:val="none"/>
        </w:rPr>
      </w:pPr>
    </w:p>
    <w:p w14:paraId="5B8D0F1A">
      <w:pPr>
        <w:pStyle w:val="15"/>
        <w:rPr>
          <w:highlight w:val="none"/>
        </w:rPr>
      </w:pPr>
    </w:p>
    <w:p w14:paraId="1641A737">
      <w:pPr>
        <w:pStyle w:val="15"/>
        <w:rPr>
          <w:highlight w:val="none"/>
        </w:rPr>
      </w:pPr>
    </w:p>
    <w:p w14:paraId="163B5CDD">
      <w:pPr>
        <w:pStyle w:val="14"/>
        <w:ind w:firstLine="400" w:firstLineChars="200"/>
        <w:rPr>
          <w:highlight w:val="none"/>
        </w:rPr>
      </w:pPr>
    </w:p>
    <w:p w14:paraId="5F1BD3C4">
      <w:pPr>
        <w:pStyle w:val="14"/>
        <w:ind w:firstLine="400" w:firstLineChars="200"/>
        <w:rPr>
          <w:highlight w:val="none"/>
        </w:rPr>
      </w:pPr>
    </w:p>
    <w:p w14:paraId="0761AB8E">
      <w:pPr>
        <w:pStyle w:val="14"/>
        <w:ind w:firstLine="400" w:firstLineChars="200"/>
        <w:rPr>
          <w:highlight w:val="none"/>
        </w:rPr>
      </w:pPr>
    </w:p>
    <w:p w14:paraId="0F3C42B8">
      <w:pPr>
        <w:pStyle w:val="14"/>
        <w:ind w:firstLine="400" w:firstLineChars="200"/>
        <w:rPr>
          <w:highlight w:val="none"/>
        </w:rPr>
      </w:pPr>
    </w:p>
    <w:p w14:paraId="36AEF936">
      <w:pPr>
        <w:pStyle w:val="14"/>
        <w:ind w:firstLine="400" w:firstLineChars="200"/>
        <w:rPr>
          <w:highlight w:val="none"/>
        </w:rPr>
      </w:pPr>
    </w:p>
    <w:p w14:paraId="5C273EAE">
      <w:pPr>
        <w:pStyle w:val="14"/>
        <w:ind w:firstLine="400" w:firstLineChars="200"/>
        <w:rPr>
          <w:highlight w:val="none"/>
        </w:rPr>
      </w:pPr>
    </w:p>
    <w:p w14:paraId="3196154B">
      <w:pPr>
        <w:pStyle w:val="14"/>
        <w:ind w:firstLine="400" w:firstLineChars="200"/>
        <w:rPr>
          <w:highlight w:val="none"/>
        </w:rPr>
      </w:pPr>
    </w:p>
    <w:p w14:paraId="2DA2A1AB">
      <w:pPr>
        <w:pStyle w:val="14"/>
        <w:ind w:firstLine="400" w:firstLineChars="200"/>
        <w:rPr>
          <w:highlight w:val="none"/>
        </w:rPr>
      </w:pPr>
    </w:p>
    <w:p w14:paraId="2A04F625">
      <w:pPr>
        <w:pStyle w:val="14"/>
        <w:ind w:firstLine="400" w:firstLineChars="200"/>
        <w:rPr>
          <w:highlight w:val="none"/>
        </w:rPr>
      </w:pPr>
    </w:p>
    <w:p w14:paraId="18D65DAC">
      <w:pPr>
        <w:pStyle w:val="14"/>
        <w:ind w:firstLine="400" w:firstLineChars="200"/>
        <w:rPr>
          <w:highlight w:val="none"/>
        </w:rPr>
      </w:pPr>
    </w:p>
    <w:p w14:paraId="090FD754">
      <w:pPr>
        <w:pStyle w:val="14"/>
        <w:ind w:firstLine="400" w:firstLineChars="200"/>
        <w:rPr>
          <w:highlight w:val="none"/>
        </w:rPr>
      </w:pPr>
    </w:p>
    <w:p w14:paraId="576822C2">
      <w:pPr>
        <w:pStyle w:val="14"/>
        <w:ind w:firstLine="400" w:firstLineChars="200"/>
        <w:rPr>
          <w:highlight w:val="none"/>
        </w:rPr>
      </w:pPr>
    </w:p>
    <w:p w14:paraId="2495C17B">
      <w:pPr>
        <w:pStyle w:val="14"/>
        <w:ind w:firstLine="400" w:firstLineChars="200"/>
        <w:rPr>
          <w:highlight w:val="none"/>
        </w:rPr>
      </w:pPr>
    </w:p>
    <w:p w14:paraId="49190DDE">
      <w:pPr>
        <w:pStyle w:val="14"/>
        <w:ind w:firstLine="400" w:firstLineChars="200"/>
        <w:rPr>
          <w:highlight w:val="none"/>
        </w:rPr>
      </w:pPr>
    </w:p>
    <w:p w14:paraId="36BD3B1F">
      <w:pPr>
        <w:pStyle w:val="14"/>
        <w:ind w:firstLine="400" w:firstLineChars="200"/>
        <w:rPr>
          <w:highlight w:val="none"/>
        </w:rPr>
      </w:pPr>
    </w:p>
    <w:p w14:paraId="3B2EFFF1">
      <w:pPr>
        <w:pStyle w:val="14"/>
        <w:ind w:firstLine="400" w:firstLineChars="200"/>
        <w:rPr>
          <w:highlight w:val="none"/>
        </w:rPr>
      </w:pPr>
    </w:p>
    <w:p w14:paraId="360EE903">
      <w:pPr>
        <w:pStyle w:val="14"/>
        <w:ind w:firstLine="400" w:firstLineChars="200"/>
        <w:rPr>
          <w:highlight w:val="none"/>
        </w:rPr>
      </w:pPr>
    </w:p>
    <w:p w14:paraId="53CB37F0">
      <w:pPr>
        <w:pStyle w:val="14"/>
        <w:ind w:firstLine="400" w:firstLineChars="200"/>
        <w:rPr>
          <w:highlight w:val="none"/>
        </w:rPr>
      </w:pPr>
    </w:p>
    <w:p w14:paraId="07DCA64C">
      <w:pPr>
        <w:pStyle w:val="14"/>
        <w:ind w:firstLine="400" w:firstLineChars="200"/>
        <w:rPr>
          <w:highlight w:val="none"/>
        </w:rPr>
      </w:pPr>
    </w:p>
    <w:p w14:paraId="0D3E4AFE">
      <w:pPr>
        <w:pStyle w:val="14"/>
        <w:ind w:firstLine="400" w:firstLineChars="200"/>
        <w:rPr>
          <w:highlight w:val="none"/>
        </w:rPr>
      </w:pPr>
    </w:p>
    <w:p w14:paraId="48679F68">
      <w:pPr>
        <w:pStyle w:val="14"/>
        <w:ind w:firstLine="400" w:firstLineChars="200"/>
        <w:rPr>
          <w:highlight w:val="none"/>
        </w:rPr>
      </w:pPr>
    </w:p>
    <w:p w14:paraId="3857725F">
      <w:pPr>
        <w:pStyle w:val="14"/>
        <w:ind w:firstLine="400" w:firstLineChars="200"/>
        <w:rPr>
          <w:highlight w:val="none"/>
        </w:rPr>
      </w:pPr>
    </w:p>
    <w:p w14:paraId="239DF004">
      <w:pPr>
        <w:pStyle w:val="14"/>
        <w:ind w:firstLine="400" w:firstLineChars="200"/>
        <w:rPr>
          <w:highlight w:val="none"/>
        </w:rPr>
      </w:pPr>
    </w:p>
    <w:p w14:paraId="18B79C51">
      <w:pPr>
        <w:pStyle w:val="14"/>
        <w:ind w:firstLine="400" w:firstLineChars="200"/>
        <w:rPr>
          <w:highlight w:val="none"/>
        </w:rPr>
      </w:pPr>
    </w:p>
    <w:p w14:paraId="1A350E88">
      <w:pPr>
        <w:pStyle w:val="14"/>
        <w:ind w:firstLine="400" w:firstLineChars="200"/>
        <w:rPr>
          <w:highlight w:val="none"/>
        </w:rPr>
      </w:pPr>
    </w:p>
    <w:p w14:paraId="430C7FE4">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57A8AC8C">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bookmarkEnd w:id="270"/>
    <w:p w14:paraId="24F3E180">
      <w:pPr>
        <w:tabs>
          <w:tab w:val="left" w:pos="255"/>
        </w:tabs>
        <w:spacing w:line="360" w:lineRule="auto"/>
        <w:ind w:firstLine="480" w:firstLineChars="200"/>
        <w:jc w:val="left"/>
        <w:rPr>
          <w:rFonts w:hint="eastAsia" w:ascii="宋体" w:hAnsi="宋体"/>
          <w:color w:val="auto"/>
          <w:sz w:val="24"/>
          <w:szCs w:val="24"/>
          <w:highlight w:val="none"/>
          <w:lang w:val="zh-CN"/>
        </w:rPr>
      </w:pPr>
      <w:r>
        <w:rPr>
          <w:rFonts w:hint="eastAsia" w:ascii="宋体" w:hAnsi="宋体"/>
          <w:bCs/>
          <w:color w:val="auto"/>
          <w:sz w:val="24"/>
          <w:szCs w:val="24"/>
          <w:highlight w:val="none"/>
          <w:lang w:val="zh-CN"/>
        </w:rPr>
        <w:t>技术参数及相关要求偏离表</w:t>
      </w:r>
      <w:r>
        <w:rPr>
          <w:rFonts w:hint="eastAsia" w:ascii="宋体" w:hAnsi="宋体"/>
          <w:bCs/>
          <w:color w:val="auto"/>
          <w:sz w:val="24"/>
          <w:szCs w:val="24"/>
          <w:highlight w:val="none"/>
        </w:rPr>
        <w:t>（格式）：</w:t>
      </w:r>
    </w:p>
    <w:p w14:paraId="217491CF">
      <w:pPr>
        <w:tabs>
          <w:tab w:val="left" w:pos="255"/>
        </w:tabs>
        <w:spacing w:before="120" w:beforeLines="50" w:after="120" w:afterLines="50" w:line="360" w:lineRule="auto"/>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 xml:space="preserve"> 技术参数及相关要求偏离表</w:t>
      </w:r>
    </w:p>
    <w:p w14:paraId="5EB4210B">
      <w:pPr>
        <w:spacing w:before="120" w:beforeLines="50" w:after="120" w:afterLines="50"/>
        <w:ind w:firstLine="480" w:firstLineChars="200"/>
        <w:rPr>
          <w:rFonts w:ascii="宋体" w:hAnsi="宋体"/>
          <w:color w:val="auto"/>
          <w:sz w:val="24"/>
          <w:szCs w:val="24"/>
          <w:highlight w:val="none"/>
        </w:rPr>
      </w:pPr>
      <w:r>
        <w:rPr>
          <w:rFonts w:hint="eastAsia" w:ascii="宋体" w:hAnsi="宋体"/>
          <w:color w:val="auto"/>
          <w:sz w:val="24"/>
          <w:szCs w:val="24"/>
          <w:highlight w:val="none"/>
        </w:rPr>
        <w:t>项目名称：</w:t>
      </w:r>
      <w:r>
        <w:rPr>
          <w:rFonts w:ascii="宋体" w:hAnsi="宋体"/>
          <w:color w:val="auto"/>
          <w:sz w:val="24"/>
          <w:szCs w:val="24"/>
          <w:highlight w:val="none"/>
        </w:rPr>
        <w:t xml:space="preserve">                     </w:t>
      </w:r>
    </w:p>
    <w:p w14:paraId="074E9BCB">
      <w:pPr>
        <w:ind w:firstLine="480" w:firstLineChars="200"/>
        <w:jc w:val="left"/>
        <w:rPr>
          <w:rFonts w:ascii="宋体" w:hAnsi="宋体"/>
          <w:color w:val="auto"/>
          <w:sz w:val="24"/>
          <w:szCs w:val="24"/>
          <w:highlight w:val="none"/>
          <w:lang w:val="zh-CN"/>
        </w:rPr>
      </w:pPr>
      <w:r>
        <w:rPr>
          <w:rFonts w:hint="eastAsia" w:ascii="宋体" w:hAnsi="宋体"/>
          <w:color w:val="auto"/>
          <w:sz w:val="24"/>
          <w:szCs w:val="24"/>
          <w:highlight w:val="none"/>
        </w:rPr>
        <w:t>项目编号：</w:t>
      </w:r>
      <w:r>
        <w:rPr>
          <w:rFonts w:ascii="宋体" w:hAnsi="宋体"/>
          <w:color w:val="auto"/>
          <w:sz w:val="24"/>
          <w:szCs w:val="24"/>
          <w:highlight w:val="none"/>
          <w:lang w:val="zh-CN"/>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1250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09E6F08">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序号</w:t>
            </w:r>
          </w:p>
        </w:tc>
        <w:tc>
          <w:tcPr>
            <w:tcW w:w="1973" w:type="dxa"/>
            <w:noWrap w:val="0"/>
            <w:vAlign w:val="center"/>
          </w:tcPr>
          <w:p w14:paraId="5283CE22">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项目名称</w:t>
            </w:r>
          </w:p>
        </w:tc>
        <w:tc>
          <w:tcPr>
            <w:tcW w:w="2315" w:type="dxa"/>
            <w:noWrap w:val="0"/>
            <w:vAlign w:val="center"/>
          </w:tcPr>
          <w:p w14:paraId="3615CF57">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rPr>
              <w:t>采购</w:t>
            </w:r>
            <w:r>
              <w:rPr>
                <w:rFonts w:hint="eastAsia" w:ascii="宋体" w:hAnsi="宋体"/>
                <w:color w:val="auto"/>
                <w:sz w:val="24"/>
                <w:szCs w:val="24"/>
                <w:highlight w:val="none"/>
                <w:lang w:val="zh-CN"/>
              </w:rPr>
              <w:t>内容</w:t>
            </w:r>
          </w:p>
        </w:tc>
        <w:tc>
          <w:tcPr>
            <w:tcW w:w="2327" w:type="dxa"/>
            <w:noWrap w:val="0"/>
            <w:vAlign w:val="center"/>
          </w:tcPr>
          <w:p w14:paraId="6859D907">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投标内容</w:t>
            </w:r>
          </w:p>
        </w:tc>
        <w:tc>
          <w:tcPr>
            <w:tcW w:w="1969" w:type="dxa"/>
            <w:noWrap w:val="0"/>
            <w:vAlign w:val="center"/>
          </w:tcPr>
          <w:p w14:paraId="446464DC">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正偏离/负偏离</w:t>
            </w:r>
          </w:p>
        </w:tc>
      </w:tr>
      <w:tr w14:paraId="51BB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73406C8">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70B44FE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43B34B34">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39229E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01B55B1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5676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D86711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7685A772">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364FEF7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57D8FF90">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11DB7BC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22E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5D101880">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C397A4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5718FDD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A212AA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4853E505">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552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2E984563">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A6CCB51">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4A088CBF">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67E6AE5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03A56A2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36EA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33F1854B">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2352D6B">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066E3D44">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66F1D633">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337D6A3F">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10D7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013D0C2A">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3E297E6">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54845D21">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859EE5A">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30C5276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1A8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9AF341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0B731B0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21FB1536">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075F085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15DC9BE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bl>
    <w:p w14:paraId="372CA0C2">
      <w:pPr>
        <w:spacing w:line="360" w:lineRule="auto"/>
        <w:jc w:val="center"/>
        <w:rPr>
          <w:rFonts w:ascii="宋体" w:hAnsi="宋体"/>
          <w:bCs/>
          <w:color w:val="auto"/>
          <w:sz w:val="24"/>
          <w:szCs w:val="24"/>
          <w:highlight w:val="none"/>
        </w:rPr>
      </w:pPr>
    </w:p>
    <w:p w14:paraId="62247FF4">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p>
    <w:p w14:paraId="0AF48545">
      <w:pPr>
        <w:pStyle w:val="14"/>
        <w:jc w:val="center"/>
        <w:rPr>
          <w:color w:val="auto"/>
          <w:highlight w:val="none"/>
          <w:lang w:val="zh-CN"/>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供应商签名：</w:t>
      </w:r>
    </w:p>
    <w:p w14:paraId="23F4727E">
      <w:pPr>
        <w:spacing w:line="360" w:lineRule="auto"/>
        <w:jc w:val="center"/>
        <w:rPr>
          <w:color w:val="auto"/>
          <w:highlight w:val="none"/>
          <w:lang w:val="zh-CN"/>
        </w:rPr>
      </w:pPr>
    </w:p>
    <w:p w14:paraId="58B17CF2">
      <w:pPr>
        <w:spacing w:line="360" w:lineRule="auto"/>
        <w:jc w:val="center"/>
        <w:rPr>
          <w:rFonts w:ascii="宋体" w:hAnsi="宋体"/>
          <w:bCs/>
          <w:color w:val="auto"/>
          <w:sz w:val="24"/>
          <w:szCs w:val="24"/>
          <w:highlight w:val="none"/>
          <w:lang w:val="zh-CN"/>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供应商公章：</w:t>
      </w:r>
    </w:p>
    <w:p w14:paraId="0B43A639">
      <w:pPr>
        <w:pStyle w:val="14"/>
        <w:spacing w:line="360" w:lineRule="auto"/>
        <w:rPr>
          <w:rFonts w:ascii="宋体" w:hAnsi="宋体"/>
          <w:color w:val="auto"/>
          <w:sz w:val="24"/>
          <w:szCs w:val="24"/>
          <w:highlight w:val="none"/>
          <w:lang w:val="zh-CN"/>
        </w:rPr>
      </w:pPr>
    </w:p>
    <w:p w14:paraId="345617BE">
      <w:pPr>
        <w:pStyle w:val="14"/>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注：（1）供应商应对照</w:t>
      </w:r>
      <w:r>
        <w:rPr>
          <w:rFonts w:hint="eastAsia" w:ascii="宋体" w:hAnsi="宋体"/>
          <w:color w:val="auto"/>
          <w:sz w:val="24"/>
          <w:szCs w:val="24"/>
          <w:highlight w:val="none"/>
        </w:rPr>
        <w:t>采购</w:t>
      </w:r>
      <w:r>
        <w:rPr>
          <w:rFonts w:hint="eastAsia" w:ascii="宋体" w:hAnsi="宋体"/>
          <w:color w:val="auto"/>
          <w:sz w:val="24"/>
          <w:szCs w:val="24"/>
          <w:highlight w:val="none"/>
          <w:lang w:val="zh-CN"/>
        </w:rPr>
        <w:t>文件“第四章 项目技术要求和有关说明”的相关要求，将自身响应的偏离情况（与</w:t>
      </w:r>
      <w:r>
        <w:rPr>
          <w:rFonts w:hint="eastAsia" w:ascii="宋体" w:hAnsi="宋体"/>
          <w:color w:val="auto"/>
          <w:sz w:val="24"/>
          <w:szCs w:val="24"/>
          <w:highlight w:val="none"/>
        </w:rPr>
        <w:t>采购</w:t>
      </w:r>
      <w:r>
        <w:rPr>
          <w:rFonts w:hint="eastAsia" w:ascii="宋体" w:hAnsi="宋体"/>
          <w:color w:val="auto"/>
          <w:sz w:val="24"/>
          <w:szCs w:val="24"/>
          <w:highlight w:val="none"/>
          <w:lang w:val="zh-CN"/>
        </w:rPr>
        <w:t>文件要求不一致的地方）详细填入上表，并注明“正偏离/负偏离”； 若未填写上表，视为完全响应。</w:t>
      </w:r>
    </w:p>
    <w:p w14:paraId="439CBF50">
      <w:pPr>
        <w:jc w:val="center"/>
        <w:rPr>
          <w:rFonts w:ascii="黑体" w:eastAsia="黑体"/>
          <w:bCs/>
          <w:color w:val="auto"/>
          <w:sz w:val="28"/>
          <w:szCs w:val="28"/>
          <w:highlight w:val="none"/>
        </w:rPr>
      </w:pPr>
    </w:p>
    <w:p w14:paraId="2CC81948">
      <w:pPr>
        <w:jc w:val="center"/>
        <w:rPr>
          <w:rFonts w:ascii="黑体" w:eastAsia="黑体"/>
          <w:bCs/>
          <w:color w:val="auto"/>
          <w:sz w:val="28"/>
          <w:szCs w:val="28"/>
          <w:highlight w:val="none"/>
        </w:rPr>
      </w:pPr>
    </w:p>
    <w:p w14:paraId="2B768BAB">
      <w:pPr>
        <w:jc w:val="center"/>
        <w:rPr>
          <w:rFonts w:ascii="黑体" w:eastAsia="黑体"/>
          <w:bCs/>
          <w:color w:val="auto"/>
          <w:sz w:val="28"/>
          <w:szCs w:val="28"/>
          <w:highlight w:val="none"/>
        </w:rPr>
      </w:pPr>
    </w:p>
    <w:p w14:paraId="04F024CF">
      <w:pPr>
        <w:jc w:val="center"/>
        <w:rPr>
          <w:rFonts w:ascii="黑体" w:eastAsia="黑体"/>
          <w:bCs/>
          <w:color w:val="auto"/>
          <w:sz w:val="28"/>
          <w:szCs w:val="28"/>
          <w:highlight w:val="none"/>
        </w:rPr>
      </w:pPr>
    </w:p>
    <w:p w14:paraId="0DAC5604">
      <w:pPr>
        <w:jc w:val="center"/>
        <w:rPr>
          <w:rFonts w:ascii="黑体" w:eastAsia="黑体"/>
          <w:bCs/>
          <w:color w:val="auto"/>
          <w:sz w:val="28"/>
          <w:szCs w:val="28"/>
          <w:highlight w:val="none"/>
        </w:rPr>
      </w:pPr>
    </w:p>
    <w:p w14:paraId="312E9809">
      <w:pPr>
        <w:jc w:val="center"/>
        <w:rPr>
          <w:rFonts w:ascii="黑体" w:eastAsia="黑体"/>
          <w:bCs/>
          <w:color w:val="auto"/>
          <w:sz w:val="28"/>
          <w:szCs w:val="28"/>
          <w:highlight w:val="none"/>
        </w:rPr>
      </w:pPr>
    </w:p>
    <w:p w14:paraId="32B7B750">
      <w:pPr>
        <w:pStyle w:val="14"/>
        <w:tabs>
          <w:tab w:val="left" w:pos="167"/>
        </w:tabs>
        <w:spacing w:line="360" w:lineRule="auto"/>
        <w:rPr>
          <w:highlight w:val="none"/>
          <w:lang w:val="zh-CN"/>
        </w:rPr>
      </w:pPr>
    </w:p>
    <w:p w14:paraId="062B2E73">
      <w:pPr>
        <w:pStyle w:val="14"/>
        <w:tabs>
          <w:tab w:val="left" w:pos="167"/>
        </w:tabs>
        <w:spacing w:line="360" w:lineRule="auto"/>
        <w:rPr>
          <w:highlight w:val="none"/>
          <w:lang w:val="zh-CN"/>
        </w:rPr>
      </w:pPr>
    </w:p>
    <w:p w14:paraId="20548CAA">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六</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4A9B9E29">
      <w:pPr>
        <w:pStyle w:val="14"/>
        <w:tabs>
          <w:tab w:val="left" w:pos="167"/>
          <w:tab w:val="left" w:pos="255"/>
        </w:tabs>
        <w:spacing w:line="360" w:lineRule="auto"/>
        <w:jc w:val="left"/>
        <w:rPr>
          <w:highlight w:val="none"/>
        </w:rPr>
      </w:pPr>
    </w:p>
    <w:p w14:paraId="0EAA4267">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6B4CEF81">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项目编号：YXGYJT202601012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30"/>
        <w:gridCol w:w="1185"/>
        <w:gridCol w:w="1134"/>
        <w:gridCol w:w="1276"/>
        <w:gridCol w:w="1134"/>
        <w:gridCol w:w="992"/>
        <w:gridCol w:w="1276"/>
        <w:gridCol w:w="1004"/>
      </w:tblGrid>
      <w:tr w14:paraId="6A97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2DB318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31079A2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63E2C9A9">
            <w:pPr>
              <w:keepNext w:val="0"/>
              <w:keepLines w:val="0"/>
              <w:suppressLineNumbers w:val="0"/>
              <w:spacing w:before="0" w:beforeAutospacing="0" w:after="0" w:afterAutospacing="0"/>
              <w:ind w:left="0" w:right="0"/>
              <w:rPr>
                <w:rFonts w:hint="default"/>
                <w:b/>
                <w:color w:val="000000"/>
                <w:sz w:val="24"/>
                <w:szCs w:val="20"/>
                <w:highlight w:val="none"/>
              </w:rPr>
            </w:pPr>
            <w:r>
              <w:rPr>
                <w:rFonts w:hint="eastAsia" w:ascii="宋体" w:hAnsi="宋体"/>
                <w:b/>
                <w:color w:val="000000"/>
                <w:sz w:val="24"/>
                <w:szCs w:val="20"/>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F50D764">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5D01A4F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3FDAF68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3BCC090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21E58CB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5DCFFB78">
            <w:pPr>
              <w:keepNext w:val="0"/>
              <w:keepLines w:val="0"/>
              <w:suppressLineNumbers w:val="0"/>
              <w:spacing w:before="0" w:beforeAutospacing="0" w:after="0" w:afterAutospacing="0"/>
              <w:ind w:left="0" w:right="0"/>
              <w:rPr>
                <w:rFonts w:hint="default"/>
                <w:b/>
                <w:color w:val="000000"/>
                <w:sz w:val="24"/>
                <w:szCs w:val="20"/>
                <w:highlight w:val="none"/>
              </w:rPr>
            </w:pPr>
            <w:r>
              <w:rPr>
                <w:rFonts w:hint="eastAsia" w:ascii="宋体" w:hAnsi="宋体"/>
                <w:b/>
                <w:color w:val="000000"/>
                <w:sz w:val="24"/>
                <w:szCs w:val="20"/>
                <w:highlight w:val="none"/>
              </w:rPr>
              <w:t>是否驻扎现场</w:t>
            </w:r>
          </w:p>
        </w:tc>
      </w:tr>
      <w:tr w14:paraId="4C0D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1DA2E06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15F3E7D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C0BD7D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EEE80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C5538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586A9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9E465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9BD0A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FBBBD3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6FF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1FE1EF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1AF268C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5D6AEA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6CA75B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6E683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09F7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F8251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8AA34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FE580D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4305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2E3A710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2EE93C5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34860B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4A6FA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CE2015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49FD0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CD779F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5F1F7F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4D9862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7C5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D1B4DE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581A06F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B2541C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5F159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453F8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2EFB6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5FEA9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46BDE6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710CC6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0EBE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2FADDD9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38273C4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E9A3A6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1A711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44B6C1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E4FBE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FC3A8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9F8957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C727AC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36F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7656848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39E650A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F85A0B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5F84E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33D381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A3B1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19F4C0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D3047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67F3EA0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1175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171537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00BA673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0D9ABF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4CB0E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22BFCC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8A8C34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07532D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86049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FB4149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5D6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03A5DB7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5B9D3CF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BFA58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4FB89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5A40F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E9294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D0B55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EBFA4C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CCDBDC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23F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499C42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0F5B149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5E02E7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DBC2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30AA3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ECB1A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BDF93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A9FE3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36ECC8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4871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1E0172E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443F5CB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306B26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AB624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3E2BD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7264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84D01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0FD5D9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6D972F8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5BAE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823ADA2">
            <w:pPr>
              <w:keepNext w:val="0"/>
              <w:keepLines w:val="0"/>
              <w:suppressLineNumbers w:val="0"/>
              <w:spacing w:before="0" w:beforeAutospacing="0" w:after="0" w:afterAutospacing="0"/>
              <w:ind w:left="0" w:right="0"/>
              <w:jc w:val="center"/>
              <w:rPr>
                <w:rFonts w:hint="default"/>
                <w:color w:val="000000"/>
                <w:sz w:val="24"/>
                <w:szCs w:val="20"/>
                <w:highlight w:val="none"/>
              </w:rPr>
            </w:pPr>
            <w:r>
              <w:rPr>
                <w:rFonts w:hint="eastAsia"/>
                <w:color w:val="000000"/>
                <w:sz w:val="24"/>
                <w:szCs w:val="20"/>
                <w:highlight w:val="none"/>
              </w:rPr>
              <w:t>…</w:t>
            </w:r>
            <w:r>
              <w:rPr>
                <w:rFonts w:hint="eastAsia" w:ascii="宋体" w:hAnsi="宋体"/>
                <w:color w:val="000000"/>
                <w:sz w:val="24"/>
                <w:szCs w:val="20"/>
                <w:highlight w:val="none"/>
              </w:rPr>
              <w:t xml:space="preserve"> </w:t>
            </w:r>
            <w:r>
              <w:rPr>
                <w:rFonts w:hint="eastAsia"/>
                <w:color w:val="000000"/>
                <w:sz w:val="24"/>
                <w:szCs w:val="20"/>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43B7E23D">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30BBA3C">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F92C25">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B04703A">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281BBB">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4A9CE5F">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AD62104">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8F9F643">
            <w:pPr>
              <w:keepNext w:val="0"/>
              <w:keepLines w:val="0"/>
              <w:suppressLineNumbers w:val="0"/>
              <w:spacing w:before="0" w:beforeAutospacing="0" w:after="0" w:afterAutospacing="0"/>
              <w:ind w:left="0" w:right="0"/>
              <w:jc w:val="center"/>
              <w:rPr>
                <w:rFonts w:hint="default"/>
                <w:color w:val="000000"/>
                <w:sz w:val="24"/>
                <w:szCs w:val="20"/>
                <w:highlight w:val="none"/>
              </w:rPr>
            </w:pPr>
          </w:p>
        </w:tc>
      </w:tr>
    </w:tbl>
    <w:p w14:paraId="2B58C205">
      <w:pPr>
        <w:tabs>
          <w:tab w:val="left" w:pos="255"/>
        </w:tabs>
        <w:spacing w:line="360" w:lineRule="auto"/>
        <w:ind w:left="840" w:leftChars="400"/>
        <w:rPr>
          <w:rFonts w:ascii="宋体" w:hAnsi="宋体"/>
          <w:bCs/>
          <w:color w:val="000000"/>
          <w:sz w:val="24"/>
          <w:szCs w:val="24"/>
          <w:highlight w:val="none"/>
          <w:lang w:val="zh-CN"/>
        </w:rPr>
      </w:pPr>
    </w:p>
    <w:p w14:paraId="48906C71">
      <w:pPr>
        <w:ind w:firstLine="367" w:firstLineChars="175"/>
        <w:rPr>
          <w:rFonts w:ascii="宋体" w:hAnsi="宋体"/>
          <w:highlight w:val="none"/>
        </w:rPr>
      </w:pPr>
      <w:r>
        <w:rPr>
          <w:rFonts w:hint="eastAsia" w:ascii="宋体" w:hAnsi="宋体"/>
          <w:highlight w:val="none"/>
        </w:rPr>
        <w:t>注：1. 表格不够可自行增加</w:t>
      </w:r>
    </w:p>
    <w:p w14:paraId="2D147133">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7143A317">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26ECEF93">
      <w:pPr>
        <w:tabs>
          <w:tab w:val="left" w:pos="255"/>
        </w:tabs>
        <w:spacing w:line="360" w:lineRule="auto"/>
        <w:ind w:left="840" w:leftChars="400"/>
        <w:rPr>
          <w:rFonts w:ascii="宋体" w:hAnsi="宋体"/>
          <w:bCs/>
          <w:color w:val="000000"/>
          <w:sz w:val="24"/>
          <w:szCs w:val="24"/>
          <w:highlight w:val="none"/>
          <w:lang w:val="zh-CN"/>
        </w:rPr>
      </w:pPr>
    </w:p>
    <w:p w14:paraId="4493572A">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04882182">
      <w:pPr>
        <w:ind w:left="4550" w:hanging="4550"/>
        <w:rPr>
          <w:sz w:val="20"/>
          <w:highlight w:val="none"/>
          <w:lang w:val="zh-CN"/>
        </w:rPr>
      </w:pPr>
    </w:p>
    <w:p w14:paraId="23ED441B">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6DD1CEDC">
      <w:pPr>
        <w:pStyle w:val="14"/>
        <w:tabs>
          <w:tab w:val="left" w:pos="167"/>
          <w:tab w:val="left" w:pos="255"/>
        </w:tabs>
        <w:spacing w:line="360" w:lineRule="auto"/>
        <w:jc w:val="left"/>
        <w:rPr>
          <w:highlight w:val="none"/>
        </w:rPr>
      </w:pPr>
    </w:p>
    <w:p w14:paraId="24F387BF">
      <w:pPr>
        <w:pStyle w:val="14"/>
        <w:tabs>
          <w:tab w:val="left" w:pos="167"/>
          <w:tab w:val="left" w:pos="255"/>
        </w:tabs>
        <w:spacing w:line="360" w:lineRule="auto"/>
        <w:jc w:val="left"/>
        <w:rPr>
          <w:highlight w:val="none"/>
        </w:rPr>
      </w:pPr>
    </w:p>
    <w:p w14:paraId="3B9DEE68">
      <w:pPr>
        <w:pStyle w:val="14"/>
        <w:tabs>
          <w:tab w:val="left" w:pos="167"/>
          <w:tab w:val="left" w:pos="255"/>
        </w:tabs>
        <w:spacing w:line="360" w:lineRule="auto"/>
        <w:jc w:val="left"/>
        <w:rPr>
          <w:highlight w:val="none"/>
        </w:rPr>
      </w:pPr>
    </w:p>
    <w:p w14:paraId="176E97FE">
      <w:pPr>
        <w:pStyle w:val="14"/>
        <w:tabs>
          <w:tab w:val="left" w:pos="167"/>
          <w:tab w:val="left" w:pos="255"/>
        </w:tabs>
        <w:spacing w:line="360" w:lineRule="auto"/>
        <w:jc w:val="left"/>
        <w:rPr>
          <w:highlight w:val="none"/>
        </w:rPr>
      </w:pPr>
    </w:p>
    <w:p w14:paraId="65650A2D">
      <w:pPr>
        <w:pStyle w:val="14"/>
        <w:tabs>
          <w:tab w:val="left" w:pos="167"/>
          <w:tab w:val="left" w:pos="255"/>
        </w:tabs>
        <w:spacing w:line="360" w:lineRule="auto"/>
        <w:jc w:val="left"/>
        <w:rPr>
          <w:highlight w:val="none"/>
        </w:rPr>
      </w:pPr>
    </w:p>
    <w:p w14:paraId="4BC0CC8D">
      <w:pPr>
        <w:pStyle w:val="14"/>
        <w:tabs>
          <w:tab w:val="left" w:pos="167"/>
          <w:tab w:val="left" w:pos="255"/>
        </w:tabs>
        <w:spacing w:line="360" w:lineRule="auto"/>
        <w:jc w:val="left"/>
        <w:rPr>
          <w:highlight w:val="none"/>
        </w:rPr>
      </w:pPr>
    </w:p>
    <w:p w14:paraId="588EA00E">
      <w:pPr>
        <w:pStyle w:val="14"/>
        <w:tabs>
          <w:tab w:val="left" w:pos="167"/>
          <w:tab w:val="left" w:pos="255"/>
        </w:tabs>
        <w:spacing w:line="360" w:lineRule="auto"/>
        <w:jc w:val="left"/>
        <w:rPr>
          <w:highlight w:val="none"/>
        </w:rPr>
      </w:pPr>
    </w:p>
    <w:p w14:paraId="315973F0">
      <w:pPr>
        <w:pStyle w:val="15"/>
        <w:rPr>
          <w:highlight w:val="none"/>
        </w:rPr>
      </w:pPr>
    </w:p>
    <w:p w14:paraId="28A3CD43">
      <w:pPr>
        <w:pStyle w:val="15"/>
        <w:rPr>
          <w:highlight w:val="none"/>
        </w:rPr>
      </w:pPr>
    </w:p>
    <w:p w14:paraId="1339658D">
      <w:pPr>
        <w:pStyle w:val="14"/>
        <w:tabs>
          <w:tab w:val="left" w:pos="167"/>
          <w:tab w:val="left" w:pos="255"/>
        </w:tabs>
        <w:spacing w:line="360" w:lineRule="auto"/>
        <w:jc w:val="left"/>
        <w:rPr>
          <w:highlight w:val="none"/>
        </w:rPr>
      </w:pPr>
    </w:p>
    <w:p w14:paraId="743BFFFA">
      <w:pPr>
        <w:tabs>
          <w:tab w:val="left" w:pos="255"/>
        </w:tabs>
        <w:spacing w:line="360" w:lineRule="auto"/>
        <w:jc w:val="left"/>
        <w:rPr>
          <w:rFonts w:ascii="黑体" w:hAnsi="宋体" w:eastAsia="黑体"/>
          <w:bCs/>
          <w:color w:val="000000"/>
          <w:sz w:val="24"/>
          <w:szCs w:val="24"/>
          <w:highlight w:val="none"/>
          <w:lang w:val="zh-CN"/>
        </w:rPr>
      </w:pPr>
    </w:p>
    <w:p w14:paraId="2D95C0A0">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七</w:t>
      </w:r>
      <w:r>
        <w:rPr>
          <w:rFonts w:hint="eastAsia" w:ascii="黑体" w:hAnsi="宋体" w:eastAsia="黑体"/>
          <w:bCs/>
          <w:color w:val="000000"/>
          <w:sz w:val="24"/>
          <w:szCs w:val="24"/>
          <w:highlight w:val="none"/>
          <w:lang w:val="zh-CN"/>
        </w:rPr>
        <w:t>）要求采购人提供的配合（如有自拟并自行添加）：</w:t>
      </w:r>
    </w:p>
    <w:p w14:paraId="05C8268C">
      <w:pPr>
        <w:tabs>
          <w:tab w:val="left" w:pos="0"/>
          <w:tab w:val="left" w:pos="255"/>
        </w:tabs>
        <w:spacing w:line="360" w:lineRule="auto"/>
        <w:ind w:left="567"/>
        <w:rPr>
          <w:rFonts w:ascii="宋体" w:hAnsi="宋体"/>
          <w:sz w:val="24"/>
          <w:szCs w:val="24"/>
          <w:highlight w:val="none"/>
          <w:lang w:val="zh-CN"/>
        </w:rPr>
      </w:pPr>
    </w:p>
    <w:p w14:paraId="1FB2A938">
      <w:pPr>
        <w:tabs>
          <w:tab w:val="left" w:pos="0"/>
          <w:tab w:val="left" w:pos="255"/>
        </w:tabs>
        <w:spacing w:line="360" w:lineRule="auto"/>
        <w:ind w:left="567"/>
        <w:rPr>
          <w:rFonts w:ascii="宋体" w:hAnsi="宋体"/>
          <w:sz w:val="24"/>
          <w:szCs w:val="24"/>
          <w:highlight w:val="none"/>
          <w:lang w:val="zh-CN"/>
        </w:rPr>
      </w:pPr>
    </w:p>
    <w:p w14:paraId="49170AA1">
      <w:pPr>
        <w:tabs>
          <w:tab w:val="left" w:pos="0"/>
          <w:tab w:val="left" w:pos="255"/>
        </w:tabs>
        <w:spacing w:line="360" w:lineRule="auto"/>
        <w:ind w:left="567"/>
        <w:rPr>
          <w:rFonts w:ascii="宋体" w:hAnsi="宋体"/>
          <w:sz w:val="24"/>
          <w:szCs w:val="24"/>
          <w:highlight w:val="none"/>
          <w:lang w:val="zh-CN"/>
        </w:rPr>
      </w:pPr>
    </w:p>
    <w:p w14:paraId="7C76B490">
      <w:pPr>
        <w:tabs>
          <w:tab w:val="left" w:pos="0"/>
          <w:tab w:val="left" w:pos="255"/>
        </w:tabs>
        <w:spacing w:line="360" w:lineRule="auto"/>
        <w:ind w:left="567"/>
        <w:rPr>
          <w:rFonts w:ascii="宋体" w:hAnsi="宋体"/>
          <w:sz w:val="24"/>
          <w:szCs w:val="24"/>
          <w:highlight w:val="none"/>
          <w:lang w:val="zh-CN"/>
        </w:rPr>
      </w:pPr>
    </w:p>
    <w:p w14:paraId="467196BE">
      <w:pPr>
        <w:tabs>
          <w:tab w:val="left" w:pos="0"/>
          <w:tab w:val="left" w:pos="255"/>
        </w:tabs>
        <w:spacing w:line="360" w:lineRule="auto"/>
        <w:ind w:left="567"/>
        <w:rPr>
          <w:rFonts w:ascii="宋体" w:hAnsi="宋体"/>
          <w:sz w:val="24"/>
          <w:szCs w:val="24"/>
          <w:highlight w:val="none"/>
          <w:lang w:val="zh-CN"/>
        </w:rPr>
      </w:pPr>
    </w:p>
    <w:p w14:paraId="2417C2F9">
      <w:pPr>
        <w:tabs>
          <w:tab w:val="left" w:pos="0"/>
          <w:tab w:val="left" w:pos="255"/>
        </w:tabs>
        <w:spacing w:line="360" w:lineRule="auto"/>
        <w:ind w:left="567"/>
        <w:rPr>
          <w:rFonts w:ascii="宋体" w:hAnsi="宋体"/>
          <w:sz w:val="24"/>
          <w:szCs w:val="24"/>
          <w:highlight w:val="none"/>
          <w:lang w:val="zh-CN"/>
        </w:rPr>
      </w:pPr>
    </w:p>
    <w:p w14:paraId="72067988">
      <w:pPr>
        <w:tabs>
          <w:tab w:val="left" w:pos="0"/>
          <w:tab w:val="left" w:pos="255"/>
        </w:tabs>
        <w:spacing w:line="360" w:lineRule="auto"/>
        <w:ind w:left="567"/>
        <w:rPr>
          <w:rFonts w:ascii="宋体" w:hAnsi="宋体"/>
          <w:sz w:val="24"/>
          <w:szCs w:val="24"/>
          <w:highlight w:val="none"/>
          <w:lang w:val="zh-CN"/>
        </w:rPr>
      </w:pPr>
    </w:p>
    <w:p w14:paraId="3AC1D087">
      <w:pPr>
        <w:tabs>
          <w:tab w:val="left" w:pos="0"/>
          <w:tab w:val="left" w:pos="255"/>
        </w:tabs>
        <w:spacing w:line="360" w:lineRule="auto"/>
        <w:ind w:left="567"/>
        <w:rPr>
          <w:rFonts w:ascii="宋体" w:hAnsi="宋体"/>
          <w:sz w:val="24"/>
          <w:szCs w:val="24"/>
          <w:highlight w:val="none"/>
          <w:lang w:val="zh-CN"/>
        </w:rPr>
      </w:pPr>
    </w:p>
    <w:p w14:paraId="311AE67E">
      <w:pPr>
        <w:tabs>
          <w:tab w:val="left" w:pos="0"/>
          <w:tab w:val="left" w:pos="255"/>
        </w:tabs>
        <w:spacing w:line="360" w:lineRule="auto"/>
        <w:ind w:left="567"/>
        <w:rPr>
          <w:rFonts w:ascii="宋体" w:hAnsi="宋体"/>
          <w:sz w:val="24"/>
          <w:szCs w:val="24"/>
          <w:highlight w:val="none"/>
          <w:lang w:val="zh-CN"/>
        </w:rPr>
      </w:pPr>
    </w:p>
    <w:p w14:paraId="48FCB996">
      <w:pPr>
        <w:tabs>
          <w:tab w:val="left" w:pos="0"/>
          <w:tab w:val="left" w:pos="255"/>
        </w:tabs>
        <w:spacing w:line="360" w:lineRule="auto"/>
        <w:ind w:left="567"/>
        <w:rPr>
          <w:rFonts w:ascii="宋体" w:hAnsi="宋体"/>
          <w:sz w:val="24"/>
          <w:szCs w:val="24"/>
          <w:highlight w:val="none"/>
          <w:lang w:val="zh-CN"/>
        </w:rPr>
      </w:pPr>
    </w:p>
    <w:p w14:paraId="70DB36B8">
      <w:pPr>
        <w:tabs>
          <w:tab w:val="left" w:pos="0"/>
          <w:tab w:val="left" w:pos="255"/>
        </w:tabs>
        <w:spacing w:line="360" w:lineRule="auto"/>
        <w:ind w:left="567"/>
        <w:rPr>
          <w:rFonts w:ascii="宋体" w:hAnsi="宋体"/>
          <w:sz w:val="24"/>
          <w:szCs w:val="24"/>
          <w:highlight w:val="none"/>
          <w:lang w:val="zh-CN"/>
        </w:rPr>
      </w:pPr>
    </w:p>
    <w:p w14:paraId="7F782FAF">
      <w:pPr>
        <w:tabs>
          <w:tab w:val="left" w:pos="0"/>
          <w:tab w:val="left" w:pos="255"/>
        </w:tabs>
        <w:spacing w:line="360" w:lineRule="auto"/>
        <w:ind w:left="567"/>
        <w:rPr>
          <w:rFonts w:ascii="宋体" w:hAnsi="宋体"/>
          <w:sz w:val="24"/>
          <w:szCs w:val="24"/>
          <w:highlight w:val="none"/>
          <w:lang w:val="zh-CN"/>
        </w:rPr>
      </w:pPr>
    </w:p>
    <w:p w14:paraId="0D51A8B1">
      <w:pPr>
        <w:tabs>
          <w:tab w:val="left" w:pos="0"/>
          <w:tab w:val="left" w:pos="255"/>
        </w:tabs>
        <w:spacing w:line="360" w:lineRule="auto"/>
        <w:ind w:left="567"/>
        <w:rPr>
          <w:rFonts w:ascii="宋体" w:hAnsi="宋体"/>
          <w:sz w:val="24"/>
          <w:szCs w:val="24"/>
          <w:highlight w:val="none"/>
          <w:lang w:val="zh-CN"/>
        </w:rPr>
      </w:pPr>
    </w:p>
    <w:p w14:paraId="5AD2AF07">
      <w:pPr>
        <w:tabs>
          <w:tab w:val="left" w:pos="0"/>
          <w:tab w:val="left" w:pos="255"/>
        </w:tabs>
        <w:spacing w:line="360" w:lineRule="auto"/>
        <w:ind w:left="567"/>
        <w:rPr>
          <w:rFonts w:ascii="宋体" w:hAnsi="宋体"/>
          <w:sz w:val="24"/>
          <w:szCs w:val="24"/>
          <w:highlight w:val="none"/>
          <w:lang w:val="zh-CN"/>
        </w:rPr>
      </w:pPr>
    </w:p>
    <w:p w14:paraId="1F1FE9FA">
      <w:pPr>
        <w:tabs>
          <w:tab w:val="left" w:pos="0"/>
          <w:tab w:val="left" w:pos="255"/>
        </w:tabs>
        <w:spacing w:line="360" w:lineRule="auto"/>
        <w:ind w:left="567"/>
        <w:rPr>
          <w:rFonts w:ascii="宋体" w:hAnsi="宋体"/>
          <w:sz w:val="24"/>
          <w:szCs w:val="24"/>
          <w:highlight w:val="none"/>
          <w:lang w:val="zh-CN"/>
        </w:rPr>
      </w:pPr>
    </w:p>
    <w:p w14:paraId="1BA499BE">
      <w:pPr>
        <w:tabs>
          <w:tab w:val="left" w:pos="0"/>
          <w:tab w:val="left" w:pos="255"/>
        </w:tabs>
        <w:spacing w:line="360" w:lineRule="auto"/>
        <w:ind w:left="567"/>
        <w:rPr>
          <w:rFonts w:ascii="宋体" w:hAnsi="宋体"/>
          <w:sz w:val="24"/>
          <w:szCs w:val="24"/>
          <w:highlight w:val="none"/>
          <w:lang w:val="zh-CN"/>
        </w:rPr>
      </w:pPr>
    </w:p>
    <w:p w14:paraId="596555AF">
      <w:pPr>
        <w:tabs>
          <w:tab w:val="left" w:pos="0"/>
          <w:tab w:val="left" w:pos="255"/>
        </w:tabs>
        <w:spacing w:line="360" w:lineRule="auto"/>
        <w:ind w:left="567"/>
        <w:rPr>
          <w:rFonts w:ascii="宋体" w:hAnsi="宋体"/>
          <w:sz w:val="24"/>
          <w:szCs w:val="24"/>
          <w:highlight w:val="none"/>
          <w:lang w:val="zh-CN"/>
        </w:rPr>
      </w:pPr>
    </w:p>
    <w:p w14:paraId="43777F72">
      <w:pPr>
        <w:tabs>
          <w:tab w:val="left" w:pos="0"/>
          <w:tab w:val="left" w:pos="255"/>
        </w:tabs>
        <w:spacing w:line="360" w:lineRule="auto"/>
        <w:ind w:left="567"/>
        <w:rPr>
          <w:rFonts w:ascii="宋体" w:hAnsi="宋体"/>
          <w:sz w:val="24"/>
          <w:szCs w:val="24"/>
          <w:highlight w:val="none"/>
          <w:lang w:val="zh-CN"/>
        </w:rPr>
      </w:pPr>
    </w:p>
    <w:p w14:paraId="5B7A76FA">
      <w:pPr>
        <w:tabs>
          <w:tab w:val="left" w:pos="0"/>
          <w:tab w:val="left" w:pos="255"/>
        </w:tabs>
        <w:spacing w:line="360" w:lineRule="auto"/>
        <w:ind w:left="567"/>
        <w:rPr>
          <w:rFonts w:ascii="宋体" w:hAnsi="宋体"/>
          <w:sz w:val="24"/>
          <w:szCs w:val="24"/>
          <w:highlight w:val="none"/>
          <w:lang w:val="zh-CN"/>
        </w:rPr>
      </w:pPr>
    </w:p>
    <w:p w14:paraId="2BE14547">
      <w:pPr>
        <w:tabs>
          <w:tab w:val="left" w:pos="0"/>
          <w:tab w:val="left" w:pos="255"/>
        </w:tabs>
        <w:spacing w:line="360" w:lineRule="auto"/>
        <w:ind w:left="567"/>
        <w:rPr>
          <w:rFonts w:ascii="宋体" w:hAnsi="宋体"/>
          <w:sz w:val="24"/>
          <w:szCs w:val="24"/>
          <w:highlight w:val="none"/>
          <w:lang w:val="zh-CN"/>
        </w:rPr>
      </w:pPr>
    </w:p>
    <w:p w14:paraId="23C314B9">
      <w:pPr>
        <w:tabs>
          <w:tab w:val="left" w:pos="0"/>
          <w:tab w:val="left" w:pos="255"/>
        </w:tabs>
        <w:spacing w:line="360" w:lineRule="auto"/>
        <w:ind w:left="567"/>
        <w:rPr>
          <w:rFonts w:ascii="宋体" w:hAnsi="宋体"/>
          <w:sz w:val="24"/>
          <w:szCs w:val="24"/>
          <w:highlight w:val="none"/>
          <w:lang w:val="zh-CN"/>
        </w:rPr>
      </w:pPr>
    </w:p>
    <w:p w14:paraId="1462EE5A">
      <w:pPr>
        <w:tabs>
          <w:tab w:val="left" w:pos="0"/>
          <w:tab w:val="left" w:pos="255"/>
        </w:tabs>
        <w:spacing w:line="360" w:lineRule="auto"/>
        <w:ind w:left="567"/>
        <w:rPr>
          <w:rFonts w:ascii="宋体" w:hAnsi="宋体"/>
          <w:sz w:val="24"/>
          <w:szCs w:val="24"/>
          <w:highlight w:val="none"/>
          <w:lang w:val="zh-CN"/>
        </w:rPr>
      </w:pPr>
    </w:p>
    <w:p w14:paraId="21BE7A99">
      <w:pPr>
        <w:tabs>
          <w:tab w:val="left" w:pos="0"/>
          <w:tab w:val="left" w:pos="255"/>
        </w:tabs>
        <w:spacing w:line="360" w:lineRule="auto"/>
        <w:ind w:left="567"/>
        <w:rPr>
          <w:rFonts w:ascii="宋体" w:hAnsi="宋体"/>
          <w:sz w:val="24"/>
          <w:szCs w:val="24"/>
          <w:highlight w:val="none"/>
          <w:lang w:val="zh-CN"/>
        </w:rPr>
      </w:pPr>
    </w:p>
    <w:p w14:paraId="4C446287">
      <w:pPr>
        <w:tabs>
          <w:tab w:val="left" w:pos="0"/>
          <w:tab w:val="left" w:pos="255"/>
        </w:tabs>
        <w:spacing w:line="360" w:lineRule="auto"/>
        <w:ind w:left="567"/>
        <w:rPr>
          <w:rFonts w:ascii="宋体" w:hAnsi="宋体"/>
          <w:sz w:val="24"/>
          <w:szCs w:val="24"/>
          <w:highlight w:val="none"/>
          <w:lang w:val="zh-CN"/>
        </w:rPr>
      </w:pPr>
    </w:p>
    <w:p w14:paraId="1DB6534F">
      <w:pPr>
        <w:tabs>
          <w:tab w:val="left" w:pos="0"/>
          <w:tab w:val="left" w:pos="255"/>
        </w:tabs>
        <w:spacing w:line="360" w:lineRule="auto"/>
        <w:ind w:left="567"/>
        <w:rPr>
          <w:rFonts w:ascii="宋体" w:hAnsi="宋体"/>
          <w:sz w:val="24"/>
          <w:szCs w:val="24"/>
          <w:highlight w:val="none"/>
          <w:lang w:val="zh-CN"/>
        </w:rPr>
      </w:pPr>
    </w:p>
    <w:p w14:paraId="7A914601">
      <w:pPr>
        <w:tabs>
          <w:tab w:val="left" w:pos="0"/>
          <w:tab w:val="left" w:pos="255"/>
        </w:tabs>
        <w:spacing w:line="360" w:lineRule="auto"/>
        <w:ind w:left="567"/>
        <w:rPr>
          <w:rFonts w:ascii="宋体" w:hAnsi="宋体"/>
          <w:sz w:val="24"/>
          <w:szCs w:val="24"/>
          <w:highlight w:val="none"/>
          <w:lang w:val="zh-CN"/>
        </w:rPr>
      </w:pPr>
    </w:p>
    <w:p w14:paraId="4B70C8D8">
      <w:pPr>
        <w:tabs>
          <w:tab w:val="left" w:pos="0"/>
          <w:tab w:val="left" w:pos="255"/>
        </w:tabs>
        <w:spacing w:line="360" w:lineRule="auto"/>
        <w:ind w:left="567"/>
        <w:rPr>
          <w:rFonts w:ascii="宋体" w:hAnsi="宋体"/>
          <w:sz w:val="24"/>
          <w:szCs w:val="24"/>
          <w:highlight w:val="none"/>
          <w:lang w:val="zh-CN"/>
        </w:rPr>
      </w:pPr>
    </w:p>
    <w:p w14:paraId="0823496D">
      <w:pPr>
        <w:tabs>
          <w:tab w:val="left" w:pos="0"/>
          <w:tab w:val="left" w:pos="255"/>
        </w:tabs>
        <w:spacing w:line="360" w:lineRule="auto"/>
        <w:ind w:left="567"/>
        <w:rPr>
          <w:rFonts w:ascii="宋体" w:hAnsi="宋体"/>
          <w:sz w:val="24"/>
          <w:szCs w:val="24"/>
          <w:highlight w:val="none"/>
          <w:lang w:val="zh-CN"/>
        </w:rPr>
      </w:pPr>
    </w:p>
    <w:p w14:paraId="0182D92A">
      <w:pPr>
        <w:tabs>
          <w:tab w:val="left" w:pos="0"/>
          <w:tab w:val="left" w:pos="255"/>
        </w:tabs>
        <w:spacing w:line="360" w:lineRule="auto"/>
        <w:ind w:left="567"/>
        <w:rPr>
          <w:rFonts w:ascii="宋体" w:hAnsi="宋体"/>
          <w:sz w:val="24"/>
          <w:szCs w:val="24"/>
          <w:highlight w:val="none"/>
          <w:lang w:val="zh-CN"/>
        </w:rPr>
      </w:pPr>
    </w:p>
    <w:p w14:paraId="775A71F9">
      <w:pPr>
        <w:tabs>
          <w:tab w:val="left" w:pos="0"/>
          <w:tab w:val="left" w:pos="255"/>
        </w:tabs>
        <w:spacing w:line="360" w:lineRule="auto"/>
        <w:rPr>
          <w:rFonts w:ascii="宋体" w:hAnsi="宋体"/>
          <w:sz w:val="24"/>
          <w:szCs w:val="24"/>
          <w:highlight w:val="none"/>
          <w:lang w:val="zh-CN"/>
        </w:rPr>
      </w:pPr>
    </w:p>
    <w:p w14:paraId="4CBC0452">
      <w:pPr>
        <w:pStyle w:val="14"/>
        <w:rPr>
          <w:rFonts w:ascii="宋体" w:hAnsi="宋体"/>
          <w:sz w:val="24"/>
          <w:szCs w:val="24"/>
          <w:highlight w:val="none"/>
          <w:lang w:val="zh-CN"/>
        </w:rPr>
      </w:pPr>
    </w:p>
    <w:p w14:paraId="2C390C14">
      <w:pPr>
        <w:pStyle w:val="15"/>
        <w:ind w:firstLine="200"/>
        <w:rPr>
          <w:highlight w:val="none"/>
          <w:lang w:val="zh-CN"/>
        </w:rPr>
      </w:pPr>
    </w:p>
    <w:p w14:paraId="3557C9FC">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八</w:t>
      </w:r>
      <w:r>
        <w:rPr>
          <w:rFonts w:hint="eastAsia" w:ascii="黑体" w:hAnsi="宋体" w:eastAsia="黑体"/>
          <w:bCs/>
          <w:color w:val="000000"/>
          <w:sz w:val="24"/>
          <w:szCs w:val="24"/>
          <w:highlight w:val="none"/>
          <w:lang w:val="zh-CN"/>
        </w:rPr>
        <w:t>）其他（供应商认为有必要提供的声明和文件，如有自拟并自行添加）</w:t>
      </w:r>
    </w:p>
    <w:p w14:paraId="6949F682">
      <w:pPr>
        <w:spacing w:line="360" w:lineRule="auto"/>
        <w:ind w:right="2240"/>
        <w:rPr>
          <w:rFonts w:ascii="宋体" w:hAnsi="宋体"/>
          <w:sz w:val="24"/>
          <w:szCs w:val="24"/>
          <w:highlight w:val="none"/>
        </w:rPr>
      </w:pPr>
    </w:p>
    <w:p w14:paraId="76A18247">
      <w:pPr>
        <w:spacing w:line="360" w:lineRule="auto"/>
        <w:ind w:right="2240"/>
        <w:rPr>
          <w:rFonts w:ascii="宋体" w:hAnsi="宋体"/>
          <w:sz w:val="24"/>
          <w:szCs w:val="24"/>
          <w:highlight w:val="none"/>
        </w:rPr>
      </w:pPr>
    </w:p>
    <w:p w14:paraId="08D68BB5">
      <w:pPr>
        <w:spacing w:line="360" w:lineRule="auto"/>
        <w:ind w:right="2240"/>
        <w:rPr>
          <w:rFonts w:ascii="宋体" w:hAnsi="宋体"/>
          <w:sz w:val="24"/>
          <w:szCs w:val="24"/>
          <w:highlight w:val="none"/>
        </w:rPr>
      </w:pPr>
    </w:p>
    <w:p w14:paraId="2D88BD49">
      <w:pPr>
        <w:spacing w:line="360" w:lineRule="auto"/>
        <w:rPr>
          <w:rFonts w:ascii="宋体" w:hAnsi="宋体"/>
          <w:sz w:val="24"/>
          <w:szCs w:val="24"/>
          <w:highlight w:val="none"/>
        </w:rPr>
      </w:pPr>
    </w:p>
    <w:p w14:paraId="250D2429">
      <w:pPr>
        <w:rPr>
          <w:highlight w:val="none"/>
        </w:rPr>
      </w:pPr>
    </w:p>
    <w:p w14:paraId="1BDE3C58">
      <w:pPr>
        <w:rPr>
          <w:highlight w:val="none"/>
        </w:rPr>
      </w:pPr>
    </w:p>
    <w:p w14:paraId="02896657">
      <w:pPr>
        <w:rPr>
          <w:highlight w:val="none"/>
        </w:rPr>
      </w:pPr>
    </w:p>
    <w:p w14:paraId="077C8776">
      <w:pPr>
        <w:rPr>
          <w:highlight w:val="none"/>
        </w:rPr>
      </w:pPr>
    </w:p>
    <w:sectPr>
      <w:pgSz w:w="11906" w:h="16838"/>
      <w:pgMar w:top="850" w:right="850" w:bottom="850" w:left="850" w:header="397" w:footer="39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034F">
    <w:pPr>
      <w:pStyle w:val="24"/>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60FF">
    <w:pPr>
      <w:pStyle w:val="24"/>
      <w:framePr w:wrap="around" w:vAnchor="text" w:hAnchor="margin" w:xAlign="center" w:yAlign="top"/>
    </w:pPr>
    <w:r>
      <w:rPr>
        <w:rStyle w:val="40"/>
      </w:rPr>
      <w:t>GE  - 3 -</w:t>
    </w:r>
  </w:p>
  <w:p w14:paraId="6945F279">
    <w:pPr>
      <w:pStyle w:val="24"/>
    </w:pPr>
  </w:p>
  <w:p w14:paraId="72553473"/>
  <w:p w14:paraId="485345B9">
    <w:pPr>
      <w:pStyle w:val="25"/>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47BD">
    <w:pPr>
      <w:pStyle w:val="24"/>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57017E28">
        <w:pPr>
          <w:pStyle w:val="24"/>
          <w:jc w:val="center"/>
        </w:pPr>
        <w:r>
          <w:fldChar w:fldCharType="begin"/>
        </w:r>
        <w:r>
          <w:instrText xml:space="preserve">PAGE   \* MERGEFORMAT</w:instrText>
        </w:r>
        <w:r>
          <w:fldChar w:fldCharType="separate"/>
        </w:r>
        <w:r>
          <w:rPr>
            <w:lang w:val="zh-CN"/>
          </w:rPr>
          <w:t>-</w:t>
        </w:r>
        <w:r>
          <w:t xml:space="preserve"> 43 -</w:t>
        </w:r>
        <w:r>
          <w:fldChar w:fldCharType="end"/>
        </w:r>
      </w:p>
    </w:sdtContent>
  </w:sdt>
  <w:p w14:paraId="7D7A13B6">
    <w:pPr>
      <w:pStyle w:val="2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122E">
    <w:pPr>
      <w:pStyle w:val="25"/>
      <w:jc w:val="right"/>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YXGYJT202601012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CBB0"/>
    <w:multiLevelType w:val="singleLevel"/>
    <w:tmpl w:val="9ABBCBB0"/>
    <w:lvl w:ilvl="0" w:tentative="0">
      <w:start w:val="1"/>
      <w:numFmt w:val="decimal"/>
      <w:suff w:val="nothing"/>
      <w:lvlText w:val="（%1）"/>
      <w:lvlJc w:val="left"/>
    </w:lvl>
  </w:abstractNum>
  <w:abstractNum w:abstractNumId="1">
    <w:nsid w:val="F797C047"/>
    <w:multiLevelType w:val="singleLevel"/>
    <w:tmpl w:val="F797C047"/>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0000001E"/>
    <w:multiLevelType w:val="singleLevel"/>
    <w:tmpl w:val="0000001E"/>
    <w:lvl w:ilvl="0" w:tentative="0">
      <w:start w:val="1"/>
      <w:numFmt w:val="decimal"/>
      <w:suff w:val="nothing"/>
      <w:lvlText w:val="（%1）"/>
      <w:lvlJc w:val="left"/>
      <w:pPr>
        <w:ind w:left="0" w:firstLine="420"/>
      </w:pPr>
    </w:lvl>
  </w:abstractNum>
  <w:abstractNum w:abstractNumId="5">
    <w:nsid w:val="00000029"/>
    <w:multiLevelType w:val="singleLevel"/>
    <w:tmpl w:val="00000029"/>
    <w:lvl w:ilvl="0" w:tentative="0">
      <w:start w:val="4"/>
      <w:numFmt w:val="chineseCounting"/>
      <w:suff w:val="nothing"/>
      <w:lvlText w:val="%1、"/>
      <w:lvlJc w:val="left"/>
    </w:lvl>
  </w:abstractNum>
  <w:abstractNum w:abstractNumId="6">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45B9758C"/>
    <w:multiLevelType w:val="singleLevel"/>
    <w:tmpl w:val="45B9758C"/>
    <w:lvl w:ilvl="0" w:tentative="0">
      <w:start w:val="4"/>
      <w:numFmt w:val="chineseCounting"/>
      <w:suff w:val="space"/>
      <w:lvlText w:val="第%1章"/>
      <w:lvlJc w:val="left"/>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2">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3">
    <w:nsid w:val="70041CCF"/>
    <w:multiLevelType w:val="singleLevel"/>
    <w:tmpl w:val="70041CCF"/>
    <w:lvl w:ilvl="0" w:tentative="0">
      <w:start w:val="1"/>
      <w:numFmt w:val="bullet"/>
      <w:pStyle w:val="20"/>
      <w:lvlText w:val=""/>
      <w:lvlJc w:val="left"/>
      <w:pPr>
        <w:tabs>
          <w:tab w:val="left" w:pos="2040"/>
        </w:tabs>
        <w:ind w:left="2040" w:hanging="360"/>
      </w:pPr>
      <w:rPr>
        <w:rFonts w:hint="default" w:ascii="Wingdings" w:hAnsi="Wingdings"/>
      </w:rPr>
    </w:lvl>
  </w:abstractNum>
  <w:num w:numId="1">
    <w:abstractNumId w:val="13"/>
  </w:num>
  <w:num w:numId="2">
    <w:abstractNumId w:val="6"/>
  </w:num>
  <w:num w:numId="3">
    <w:abstractNumId w:val="7"/>
  </w:num>
  <w:num w:numId="4">
    <w:abstractNumId w:val="0"/>
  </w:num>
  <w:num w:numId="5">
    <w:abstractNumId w:val="12"/>
  </w:num>
  <w:num w:numId="6">
    <w:abstractNumId w:val="10"/>
    <w:lvlOverride w:ilvl="0">
      <w:startOverride w:val="1"/>
    </w:lvlOverride>
  </w:num>
  <w:num w:numId="7">
    <w:abstractNumId w:val="5"/>
  </w:num>
  <w:num w:numId="8">
    <w:abstractNumId w:val="9"/>
    <w:lvlOverride w:ilvl="0">
      <w:startOverride w:val="1"/>
    </w:lvlOverride>
  </w:num>
  <w:num w:numId="9">
    <w:abstractNumId w:val="2"/>
    <w:lvlOverride w:ilvl="0">
      <w:startOverride w:val="1"/>
    </w:lvlOverride>
  </w:num>
  <w:num w:numId="10">
    <w:abstractNumId w:val="11"/>
    <w:lvlOverride w:ilvl="0">
      <w:startOverride w:val="1"/>
    </w:lvlOverride>
  </w:num>
  <w:num w:numId="11">
    <w:abstractNumId w:val="4"/>
    <w:lvlOverride w:ilvl="0">
      <w:startOverride w:val="1"/>
    </w:lvlOverride>
  </w:num>
  <w:num w:numId="12">
    <w:abstractNumId w:val="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B44E76"/>
    <w:rsid w:val="0001495D"/>
    <w:rsid w:val="000B4285"/>
    <w:rsid w:val="000C206C"/>
    <w:rsid w:val="000C6CA3"/>
    <w:rsid w:val="000F0E26"/>
    <w:rsid w:val="00151F26"/>
    <w:rsid w:val="00154421"/>
    <w:rsid w:val="00185F1A"/>
    <w:rsid w:val="0021588E"/>
    <w:rsid w:val="002235CA"/>
    <w:rsid w:val="00235C89"/>
    <w:rsid w:val="00252E8A"/>
    <w:rsid w:val="0027309E"/>
    <w:rsid w:val="002D79FC"/>
    <w:rsid w:val="003223E8"/>
    <w:rsid w:val="00331FFB"/>
    <w:rsid w:val="00341C3C"/>
    <w:rsid w:val="0037316B"/>
    <w:rsid w:val="0039214E"/>
    <w:rsid w:val="003D058B"/>
    <w:rsid w:val="003E6366"/>
    <w:rsid w:val="0047652B"/>
    <w:rsid w:val="00480052"/>
    <w:rsid w:val="004A4440"/>
    <w:rsid w:val="004C2B8F"/>
    <w:rsid w:val="004C7BE6"/>
    <w:rsid w:val="004D15CA"/>
    <w:rsid w:val="0054195D"/>
    <w:rsid w:val="0057272D"/>
    <w:rsid w:val="00580DBF"/>
    <w:rsid w:val="0059047D"/>
    <w:rsid w:val="005B0BA9"/>
    <w:rsid w:val="005F18CD"/>
    <w:rsid w:val="0063551B"/>
    <w:rsid w:val="0063606F"/>
    <w:rsid w:val="00650601"/>
    <w:rsid w:val="00672629"/>
    <w:rsid w:val="006C3769"/>
    <w:rsid w:val="006E2A2E"/>
    <w:rsid w:val="00723B3A"/>
    <w:rsid w:val="00747DCC"/>
    <w:rsid w:val="007F5248"/>
    <w:rsid w:val="008005A3"/>
    <w:rsid w:val="008272EB"/>
    <w:rsid w:val="00853E52"/>
    <w:rsid w:val="00866BE0"/>
    <w:rsid w:val="0088503E"/>
    <w:rsid w:val="008B73C2"/>
    <w:rsid w:val="00920750"/>
    <w:rsid w:val="00930F85"/>
    <w:rsid w:val="009A620D"/>
    <w:rsid w:val="009B2344"/>
    <w:rsid w:val="009C5621"/>
    <w:rsid w:val="00A00903"/>
    <w:rsid w:val="00A307CF"/>
    <w:rsid w:val="00A67358"/>
    <w:rsid w:val="00A85894"/>
    <w:rsid w:val="00A94A9F"/>
    <w:rsid w:val="00AD39A6"/>
    <w:rsid w:val="00AD7F77"/>
    <w:rsid w:val="00B108F4"/>
    <w:rsid w:val="00B1777C"/>
    <w:rsid w:val="00B44E76"/>
    <w:rsid w:val="00BA433C"/>
    <w:rsid w:val="00BB4FD8"/>
    <w:rsid w:val="00BC12BB"/>
    <w:rsid w:val="00BC7038"/>
    <w:rsid w:val="00C04CBE"/>
    <w:rsid w:val="00C9549B"/>
    <w:rsid w:val="00CC62FB"/>
    <w:rsid w:val="00D175D8"/>
    <w:rsid w:val="00D538CB"/>
    <w:rsid w:val="00D72641"/>
    <w:rsid w:val="00D7300F"/>
    <w:rsid w:val="00DA4278"/>
    <w:rsid w:val="00E0070D"/>
    <w:rsid w:val="00E24455"/>
    <w:rsid w:val="00E26944"/>
    <w:rsid w:val="00E54FF1"/>
    <w:rsid w:val="00E960A8"/>
    <w:rsid w:val="00EE10B4"/>
    <w:rsid w:val="00EF19F1"/>
    <w:rsid w:val="00EF4B71"/>
    <w:rsid w:val="00F50175"/>
    <w:rsid w:val="00F51FDD"/>
    <w:rsid w:val="00F56525"/>
    <w:rsid w:val="00F644F4"/>
    <w:rsid w:val="00F922FE"/>
    <w:rsid w:val="00F96814"/>
    <w:rsid w:val="00FA7A80"/>
    <w:rsid w:val="02480F81"/>
    <w:rsid w:val="0361440A"/>
    <w:rsid w:val="03A660F5"/>
    <w:rsid w:val="04891E6A"/>
    <w:rsid w:val="058C1C12"/>
    <w:rsid w:val="05BC1DCB"/>
    <w:rsid w:val="06510766"/>
    <w:rsid w:val="0749768F"/>
    <w:rsid w:val="07A66002"/>
    <w:rsid w:val="08F407AD"/>
    <w:rsid w:val="0A027067"/>
    <w:rsid w:val="0A740EC6"/>
    <w:rsid w:val="0ADD081A"/>
    <w:rsid w:val="0C3F26AC"/>
    <w:rsid w:val="0CFD48A0"/>
    <w:rsid w:val="0E1E3623"/>
    <w:rsid w:val="0EAD60FB"/>
    <w:rsid w:val="0EC853E9"/>
    <w:rsid w:val="0EFE5203"/>
    <w:rsid w:val="0F1C2D99"/>
    <w:rsid w:val="102D2243"/>
    <w:rsid w:val="107B52EF"/>
    <w:rsid w:val="120830FB"/>
    <w:rsid w:val="129037CB"/>
    <w:rsid w:val="130A36BC"/>
    <w:rsid w:val="13702B73"/>
    <w:rsid w:val="140727B6"/>
    <w:rsid w:val="144F61B0"/>
    <w:rsid w:val="14575AE1"/>
    <w:rsid w:val="14A44A77"/>
    <w:rsid w:val="14B4672E"/>
    <w:rsid w:val="14EF5D19"/>
    <w:rsid w:val="154A2F50"/>
    <w:rsid w:val="16B94831"/>
    <w:rsid w:val="175E7186"/>
    <w:rsid w:val="17B26AC1"/>
    <w:rsid w:val="17D86F39"/>
    <w:rsid w:val="17E56F60"/>
    <w:rsid w:val="185A16FC"/>
    <w:rsid w:val="18F953B8"/>
    <w:rsid w:val="19653F51"/>
    <w:rsid w:val="1B2B56F3"/>
    <w:rsid w:val="1BD95F08"/>
    <w:rsid w:val="1C7A6810"/>
    <w:rsid w:val="1F201A06"/>
    <w:rsid w:val="1F443106"/>
    <w:rsid w:val="1FA0049C"/>
    <w:rsid w:val="20BB2F53"/>
    <w:rsid w:val="224A27E1"/>
    <w:rsid w:val="22B91715"/>
    <w:rsid w:val="230F7587"/>
    <w:rsid w:val="2366189C"/>
    <w:rsid w:val="243A52D2"/>
    <w:rsid w:val="25E62821"/>
    <w:rsid w:val="266A11E9"/>
    <w:rsid w:val="27A6670B"/>
    <w:rsid w:val="280B2164"/>
    <w:rsid w:val="298F1238"/>
    <w:rsid w:val="2ACA5D11"/>
    <w:rsid w:val="2AE90D9C"/>
    <w:rsid w:val="2CCA0648"/>
    <w:rsid w:val="2CE05682"/>
    <w:rsid w:val="2E563B09"/>
    <w:rsid w:val="2E884DBD"/>
    <w:rsid w:val="2EFA10EB"/>
    <w:rsid w:val="2F6E7F4B"/>
    <w:rsid w:val="2F9B6846"/>
    <w:rsid w:val="30C916BD"/>
    <w:rsid w:val="33633282"/>
    <w:rsid w:val="33977850"/>
    <w:rsid w:val="341347AD"/>
    <w:rsid w:val="34E42621"/>
    <w:rsid w:val="35D54660"/>
    <w:rsid w:val="35E00B47"/>
    <w:rsid w:val="36070CBD"/>
    <w:rsid w:val="37041359"/>
    <w:rsid w:val="385C6972"/>
    <w:rsid w:val="392D1825"/>
    <w:rsid w:val="39697599"/>
    <w:rsid w:val="39E430C3"/>
    <w:rsid w:val="3C4240A8"/>
    <w:rsid w:val="3C8D17F0"/>
    <w:rsid w:val="3DD85D99"/>
    <w:rsid w:val="3DFA2EB5"/>
    <w:rsid w:val="3E2D3BA9"/>
    <w:rsid w:val="3EF5367D"/>
    <w:rsid w:val="3F2C2979"/>
    <w:rsid w:val="3F3146B5"/>
    <w:rsid w:val="40384169"/>
    <w:rsid w:val="40B76E3C"/>
    <w:rsid w:val="41A5061A"/>
    <w:rsid w:val="42C83F91"/>
    <w:rsid w:val="43A062DF"/>
    <w:rsid w:val="45185DAE"/>
    <w:rsid w:val="45FA5780"/>
    <w:rsid w:val="466A2DB8"/>
    <w:rsid w:val="468B6D9E"/>
    <w:rsid w:val="46EB3CE3"/>
    <w:rsid w:val="485F60A2"/>
    <w:rsid w:val="48E50615"/>
    <w:rsid w:val="49767134"/>
    <w:rsid w:val="497F6571"/>
    <w:rsid w:val="49B91E77"/>
    <w:rsid w:val="49CD76D0"/>
    <w:rsid w:val="4A2117CA"/>
    <w:rsid w:val="4A34774F"/>
    <w:rsid w:val="4AE64EED"/>
    <w:rsid w:val="4C820C46"/>
    <w:rsid w:val="4D7D140D"/>
    <w:rsid w:val="4E2E0D75"/>
    <w:rsid w:val="4EC56CD6"/>
    <w:rsid w:val="4EF851EF"/>
    <w:rsid w:val="4F454AA0"/>
    <w:rsid w:val="4FAD422B"/>
    <w:rsid w:val="50837ADC"/>
    <w:rsid w:val="51186C94"/>
    <w:rsid w:val="534D28A5"/>
    <w:rsid w:val="54807777"/>
    <w:rsid w:val="54F94E9E"/>
    <w:rsid w:val="577613A7"/>
    <w:rsid w:val="57E36310"/>
    <w:rsid w:val="58124773"/>
    <w:rsid w:val="58726012"/>
    <w:rsid w:val="59126EAD"/>
    <w:rsid w:val="5A7871E4"/>
    <w:rsid w:val="5A7B0A82"/>
    <w:rsid w:val="5AF2343A"/>
    <w:rsid w:val="5B647768"/>
    <w:rsid w:val="5C9B2B0D"/>
    <w:rsid w:val="5D1A27D4"/>
    <w:rsid w:val="5F1E72AE"/>
    <w:rsid w:val="60353048"/>
    <w:rsid w:val="606D1D3A"/>
    <w:rsid w:val="60B612C5"/>
    <w:rsid w:val="61D27D8E"/>
    <w:rsid w:val="6300335E"/>
    <w:rsid w:val="63E36016"/>
    <w:rsid w:val="640F6E0B"/>
    <w:rsid w:val="64D73C9B"/>
    <w:rsid w:val="65AF11EC"/>
    <w:rsid w:val="663074CD"/>
    <w:rsid w:val="66881DFA"/>
    <w:rsid w:val="66EB050D"/>
    <w:rsid w:val="66F9345B"/>
    <w:rsid w:val="67650AF0"/>
    <w:rsid w:val="679C6C08"/>
    <w:rsid w:val="6815216E"/>
    <w:rsid w:val="681E586F"/>
    <w:rsid w:val="68613F4D"/>
    <w:rsid w:val="68684D3C"/>
    <w:rsid w:val="6A3A6264"/>
    <w:rsid w:val="6BC07C08"/>
    <w:rsid w:val="6C051A46"/>
    <w:rsid w:val="6D0019E7"/>
    <w:rsid w:val="6D657A9C"/>
    <w:rsid w:val="6D6B6D9A"/>
    <w:rsid w:val="6D9F5200"/>
    <w:rsid w:val="6DB175E8"/>
    <w:rsid w:val="6EEC6241"/>
    <w:rsid w:val="6FD1766A"/>
    <w:rsid w:val="705B0CE2"/>
    <w:rsid w:val="705F5206"/>
    <w:rsid w:val="71BF5462"/>
    <w:rsid w:val="735C549D"/>
    <w:rsid w:val="742E6D1C"/>
    <w:rsid w:val="75451BF2"/>
    <w:rsid w:val="75496D58"/>
    <w:rsid w:val="758D4EA4"/>
    <w:rsid w:val="759251A6"/>
    <w:rsid w:val="75F53987"/>
    <w:rsid w:val="76233B13"/>
    <w:rsid w:val="774442C4"/>
    <w:rsid w:val="77BE4418"/>
    <w:rsid w:val="77DE7EB2"/>
    <w:rsid w:val="7A340F22"/>
    <w:rsid w:val="7A5331BB"/>
    <w:rsid w:val="7AFD7566"/>
    <w:rsid w:val="7B4909FD"/>
    <w:rsid w:val="7BD209F2"/>
    <w:rsid w:val="7D5F62B6"/>
    <w:rsid w:val="7D9B26AB"/>
    <w:rsid w:val="7DDA1DE0"/>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Body Text First Indent"/>
    <w:basedOn w:val="14"/>
    <w:link w:val="71"/>
    <w:unhideWhenUsed/>
    <w:qFormat/>
    <w:uiPriority w:val="99"/>
    <w:pPr>
      <w:ind w:firstLine="420" w:firstLineChars="100"/>
    </w:pPr>
    <w:rPr>
      <w:kern w:val="2"/>
    </w:r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List Bullet 5"/>
    <w:basedOn w:val="1"/>
    <w:semiHidden/>
    <w:unhideWhenUsed/>
    <w:qFormat/>
    <w:uiPriority w:val="99"/>
    <w:pPr>
      <w:numPr>
        <w:ilvl w:val="0"/>
        <w:numId w:val="1"/>
      </w:numPr>
    </w:pPr>
  </w:style>
  <w:style w:type="paragraph" w:styleId="21">
    <w:name w:val="Date"/>
    <w:basedOn w:val="1"/>
    <w:next w:val="1"/>
    <w:link w:val="63"/>
    <w:unhideWhenUsed/>
    <w:qFormat/>
    <w:uiPriority w:val="99"/>
    <w:rPr>
      <w:sz w:val="24"/>
    </w:rPr>
  </w:style>
  <w:style w:type="paragraph" w:styleId="22">
    <w:name w:val="endnote text"/>
    <w:basedOn w:val="1"/>
    <w:link w:val="64"/>
    <w:qFormat/>
    <w:uiPriority w:val="0"/>
    <w:pPr>
      <w:snapToGrid w:val="0"/>
      <w:jc w:val="left"/>
    </w:pPr>
    <w:rPr>
      <w:rFonts w:ascii="仿宋_GB2312" w:eastAsia="仿宋_GB2312"/>
      <w:sz w:val="28"/>
      <w:szCs w:val="28"/>
    </w:rPr>
  </w:style>
  <w:style w:type="paragraph" w:styleId="23">
    <w:name w:val="Balloon Text"/>
    <w:basedOn w:val="1"/>
    <w:link w:val="65"/>
    <w:qFormat/>
    <w:uiPriority w:val="99"/>
    <w:rPr>
      <w:kern w:val="0"/>
      <w:sz w:val="18"/>
      <w:szCs w:val="18"/>
    </w:rPr>
  </w:style>
  <w:style w:type="paragraph" w:styleId="24">
    <w:name w:val="footer"/>
    <w:basedOn w:val="1"/>
    <w:link w:val="48"/>
    <w:unhideWhenUsed/>
    <w:qFormat/>
    <w:uiPriority w:val="99"/>
    <w:pPr>
      <w:tabs>
        <w:tab w:val="center" w:pos="4153"/>
        <w:tab w:val="right" w:pos="8306"/>
      </w:tabs>
      <w:snapToGrid w:val="0"/>
      <w:jc w:val="left"/>
    </w:pPr>
    <w:rPr>
      <w:sz w:val="18"/>
      <w:szCs w:val="18"/>
    </w:rPr>
  </w:style>
  <w:style w:type="paragraph" w:styleId="25">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6"/>
    <w:qFormat/>
    <w:uiPriority w:val="99"/>
    <w:pPr>
      <w:widowControl/>
      <w:spacing w:after="120"/>
      <w:ind w:left="420" w:leftChars="200"/>
      <w:jc w:val="left"/>
    </w:pPr>
    <w:rPr>
      <w:kern w:val="0"/>
      <w:sz w:val="16"/>
      <w:szCs w:val="16"/>
    </w:rPr>
  </w:style>
  <w:style w:type="paragraph" w:styleId="28">
    <w:name w:val="toc 2"/>
    <w:basedOn w:val="1"/>
    <w:next w:val="1"/>
    <w:qFormat/>
    <w:uiPriority w:val="39"/>
    <w:pPr>
      <w:ind w:left="420" w:leftChars="200"/>
    </w:pPr>
  </w:style>
  <w:style w:type="paragraph" w:styleId="29">
    <w:name w:val="Body Text 2"/>
    <w:basedOn w:val="1"/>
    <w:link w:val="67"/>
    <w:qFormat/>
    <w:uiPriority w:val="99"/>
    <w:pPr>
      <w:spacing w:after="120" w:line="480" w:lineRule="auto"/>
    </w:pPr>
    <w:rPr>
      <w:kern w:val="0"/>
      <w:sz w:val="20"/>
    </w:rPr>
  </w:style>
  <w:style w:type="paragraph" w:styleId="30">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3">
    <w:name w:val="annotation subject"/>
    <w:basedOn w:val="13"/>
    <w:next w:val="13"/>
    <w:link w:val="70"/>
    <w:qFormat/>
    <w:uiPriority w:val="99"/>
    <w:rPr>
      <w:b/>
      <w:bCs/>
    </w:rPr>
  </w:style>
  <w:style w:type="paragraph" w:styleId="34">
    <w:name w:val="Body Text First Indent 2"/>
    <w:basedOn w:val="16"/>
    <w:link w:val="72"/>
    <w:qFormat/>
    <w:uiPriority w:val="99"/>
    <w:pPr>
      <w:ind w:firstLine="420"/>
    </w:pPr>
  </w:style>
  <w:style w:type="table" w:styleId="36">
    <w:name w:val="Table Grid"/>
    <w:basedOn w:val="35"/>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5"/>
    <w:qFormat/>
    <w:uiPriority w:val="99"/>
    <w:rPr>
      <w:sz w:val="18"/>
      <w:szCs w:val="18"/>
    </w:rPr>
  </w:style>
  <w:style w:type="character" w:customStyle="1" w:styleId="48">
    <w:name w:val="页脚 Char"/>
    <w:basedOn w:val="38"/>
    <w:link w:val="24"/>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6"/>
    <w:qFormat/>
    <w:uiPriority w:val="99"/>
    <w:rPr>
      <w:rFonts w:ascii="宋体" w:hAnsi="Times New Roman" w:eastAsia="宋体" w:cs="Times New Roman"/>
      <w:sz w:val="24"/>
      <w:szCs w:val="20"/>
    </w:rPr>
  </w:style>
  <w:style w:type="character" w:customStyle="1" w:styleId="62">
    <w:name w:val="纯文本 Char"/>
    <w:basedOn w:val="38"/>
    <w:link w:val="19"/>
    <w:qFormat/>
    <w:uiPriority w:val="0"/>
    <w:rPr>
      <w:rFonts w:ascii="Calibri" w:hAnsi="Calibri" w:eastAsia="宋体" w:cs="Times New Roman"/>
      <w:kern w:val="0"/>
      <w:sz w:val="24"/>
      <w:szCs w:val="24"/>
    </w:rPr>
  </w:style>
  <w:style w:type="character" w:customStyle="1" w:styleId="63">
    <w:name w:val="日期 Char"/>
    <w:basedOn w:val="38"/>
    <w:link w:val="21"/>
    <w:qFormat/>
    <w:uiPriority w:val="99"/>
    <w:rPr>
      <w:rFonts w:ascii="Times New Roman" w:hAnsi="Times New Roman" w:eastAsia="宋体" w:cs="Times New Roman"/>
      <w:sz w:val="24"/>
      <w:szCs w:val="20"/>
    </w:rPr>
  </w:style>
  <w:style w:type="character" w:customStyle="1" w:styleId="64">
    <w:name w:val="尾注文本 Char"/>
    <w:basedOn w:val="38"/>
    <w:link w:val="22"/>
    <w:qFormat/>
    <w:uiPriority w:val="0"/>
    <w:rPr>
      <w:rFonts w:ascii="仿宋_GB2312" w:hAnsi="Times New Roman" w:eastAsia="仿宋_GB2312" w:cs="Times New Roman"/>
      <w:sz w:val="28"/>
      <w:szCs w:val="28"/>
    </w:rPr>
  </w:style>
  <w:style w:type="character" w:customStyle="1" w:styleId="65">
    <w:name w:val="批注框文本 Char"/>
    <w:basedOn w:val="38"/>
    <w:link w:val="23"/>
    <w:qFormat/>
    <w:uiPriority w:val="99"/>
    <w:rPr>
      <w:rFonts w:ascii="Times New Roman" w:hAnsi="Times New Roman" w:eastAsia="宋体" w:cs="Times New Roman"/>
      <w:kern w:val="0"/>
      <w:sz w:val="18"/>
      <w:szCs w:val="18"/>
    </w:rPr>
  </w:style>
  <w:style w:type="character" w:customStyle="1" w:styleId="66">
    <w:name w:val="正文文本缩进 3 Char"/>
    <w:basedOn w:val="38"/>
    <w:link w:val="27"/>
    <w:qFormat/>
    <w:uiPriority w:val="99"/>
    <w:rPr>
      <w:rFonts w:ascii="Times New Roman" w:hAnsi="Times New Roman" w:eastAsia="宋体" w:cs="Times New Roman"/>
      <w:kern w:val="0"/>
      <w:sz w:val="16"/>
      <w:szCs w:val="16"/>
    </w:rPr>
  </w:style>
  <w:style w:type="character" w:customStyle="1" w:styleId="67">
    <w:name w:val="正文文本 2 Char"/>
    <w:basedOn w:val="38"/>
    <w:link w:val="29"/>
    <w:qFormat/>
    <w:uiPriority w:val="99"/>
    <w:rPr>
      <w:rFonts w:ascii="Times New Roman" w:hAnsi="Times New Roman" w:eastAsia="宋体" w:cs="Times New Roman"/>
      <w:kern w:val="0"/>
      <w:sz w:val="20"/>
      <w:szCs w:val="20"/>
    </w:rPr>
  </w:style>
  <w:style w:type="character" w:customStyle="1" w:styleId="68">
    <w:name w:val="HTML 预设格式 Char"/>
    <w:basedOn w:val="38"/>
    <w:link w:val="30"/>
    <w:qFormat/>
    <w:uiPriority w:val="99"/>
    <w:rPr>
      <w:rFonts w:ascii="宋体" w:hAnsi="宋体" w:eastAsia="宋体" w:cs="Times New Roman"/>
      <w:kern w:val="0"/>
      <w:sz w:val="24"/>
      <w:szCs w:val="24"/>
    </w:rPr>
  </w:style>
  <w:style w:type="character" w:customStyle="1" w:styleId="69">
    <w:name w:val="标题 Char"/>
    <w:basedOn w:val="38"/>
    <w:link w:val="32"/>
    <w:qFormat/>
    <w:uiPriority w:val="0"/>
    <w:rPr>
      <w:rFonts w:ascii="Cambria" w:hAnsi="Cambria" w:eastAsia="宋体" w:cs="Times New Roman"/>
      <w:b/>
      <w:sz w:val="24"/>
      <w:szCs w:val="32"/>
    </w:rPr>
  </w:style>
  <w:style w:type="character" w:customStyle="1" w:styleId="70">
    <w:name w:val="批注主题 Char"/>
    <w:basedOn w:val="60"/>
    <w:link w:val="33"/>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15"/>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paragraph" w:customStyle="1" w:styleId="181">
    <w:name w:val="报告文字"/>
    <w:basedOn w:val="1"/>
    <w:next w:val="1"/>
    <w:qFormat/>
    <w:uiPriority w:val="0"/>
    <w:pPr>
      <w:keepNext w:val="0"/>
      <w:keepLines w:val="0"/>
      <w:widowControl w:val="0"/>
      <w:suppressLineNumbers w:val="0"/>
      <w:spacing w:before="0" w:beforeAutospacing="0" w:after="0" w:afterAutospacing="0"/>
      <w:ind w:left="0" w:right="0" w:firstLine="480" w:firstLineChars="200"/>
      <w:jc w:val="left"/>
    </w:pPr>
    <w:rPr>
      <w:rFonts w:hint="default" w:ascii="Times New Roman" w:hAnsi="Times New Roman" w:eastAsia="宋体" w:cs="Times New Roman"/>
      <w:kern w:val="0"/>
      <w:sz w:val="24"/>
      <w:szCs w:val="24"/>
      <w:lang w:val="en-US" w:eastAsia="zh-CN" w:bidi="ar"/>
    </w:rPr>
  </w:style>
  <w:style w:type="paragraph" w:customStyle="1" w:styleId="182">
    <w:name w:val="报告正文"/>
    <w:basedOn w:val="1"/>
    <w:qFormat/>
    <w:uiPriority w:val="0"/>
    <w:pPr>
      <w:spacing w:before="43" w:line="380" w:lineRule="exact"/>
      <w:ind w:firstLine="480"/>
      <w:textAlignment w:val="auto"/>
    </w:pPr>
    <w:rPr>
      <w:rFonts w:eastAsia="仿宋_GB2312" w:cs="Times New Roman"/>
      <w:kern w:val="0"/>
      <w:sz w:val="24"/>
      <w:szCs w:val="28"/>
    </w:rPr>
  </w:style>
  <w:style w:type="paragraph" w:customStyle="1" w:styleId="183">
    <w:name w:val="表名"/>
    <w:basedOn w:val="1"/>
    <w:qFormat/>
    <w:uiPriority w:val="0"/>
    <w:pPr>
      <w:jc w:val="center"/>
    </w:pPr>
    <w:rPr>
      <w:rFonts w:eastAsia="黑体"/>
      <w:sz w:val="24"/>
      <w:szCs w:val="24"/>
    </w:rPr>
  </w:style>
  <w:style w:type="paragraph" w:customStyle="1" w:styleId="184">
    <w:name w:val="表格内容"/>
    <w:basedOn w:val="1"/>
    <w:qFormat/>
    <w:uiPriority w:val="0"/>
    <w:pPr>
      <w:kinsoku w:val="0"/>
      <w:overflowPunct w:val="0"/>
      <w:adjustRightInd w:val="0"/>
      <w:snapToGrid w:val="0"/>
      <w:spacing w:line="240" w:lineRule="auto"/>
      <w:ind w:firstLine="0" w:firstLineChars="0"/>
      <w:contextualSpacing/>
      <w:jc w:val="center"/>
      <w:textAlignment w:val="auto"/>
    </w:pPr>
    <w:rPr>
      <w:rFonts w:eastAsia="仿宋_GB2312" w:cs="Times New Roman"/>
      <w:kern w:val="0"/>
      <w:sz w:val="21"/>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5EC73-77B6-4489-BE6F-7FECD8C41BB7}">
  <ds:schemaRefs/>
</ds:datastoreItem>
</file>

<file path=docProps/app.xml><?xml version="1.0" encoding="utf-8"?>
<Properties xmlns="http://schemas.openxmlformats.org/officeDocument/2006/extended-properties" xmlns:vt="http://schemas.openxmlformats.org/officeDocument/2006/docPropsVTypes">
  <Template>Normal</Template>
  <Pages>38</Pages>
  <Words>18980</Words>
  <Characters>20108</Characters>
  <Lines>194</Lines>
  <Paragraphs>54</Paragraphs>
  <TotalTime>19</TotalTime>
  <ScaleCrop>false</ScaleCrop>
  <LinksUpToDate>false</LinksUpToDate>
  <CharactersWithSpaces>21378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cp:lastPrinted>2026-02-02T02:39:00Z</cp:lastPrinted>
  <dcterms:modified xsi:type="dcterms:W3CDTF">2026-02-02T08:03:49Z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2052-12.1.0.24657</vt:lpwstr>
  </property>
  <property fmtid="{D5CDD505-2E9C-101B-9397-08002B2CF9AE}" pid="4" name="ICV">
    <vt:lpwstr>333C6C0573D442888321AD0A92665AB3_13</vt:lpwstr>
  </property>
</Properties>
</file>