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EFAA">
      <w:pPr>
        <w:adjustRightInd/>
        <w:snapToGrid/>
        <w:spacing w:after="0" w:line="360" w:lineRule="auto"/>
        <w:contextualSpacing/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</w:pPr>
      <w:bookmarkStart w:id="0" w:name="OLE_LINK1"/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宜兴市排水有限公司2026年排水公司污水设施巡查服务</w:t>
      </w:r>
    </w:p>
    <w:p w14:paraId="70C668F0">
      <w:pPr>
        <w:adjustRightInd/>
        <w:snapToGrid/>
        <w:spacing w:after="0" w:line="360" w:lineRule="auto"/>
        <w:contextualSpacing/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val="en-US" w:eastAsia="zh-CN"/>
        </w:rPr>
        <w:t>磋商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公告</w:t>
      </w:r>
    </w:p>
    <w:p w14:paraId="2E753C2E">
      <w:pPr>
        <w:adjustRightInd/>
        <w:snapToGrid/>
        <w:spacing w:after="0" w:line="360" w:lineRule="auto"/>
        <w:ind w:firstLine="560" w:firstLineChars="200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因工作需要，现组织宜兴市排水有限公司2026年排水公司污水设施巡查服务进行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。现欢迎符合相关条件的供应商参加。</w:t>
      </w:r>
    </w:p>
    <w:p w14:paraId="21E15514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  <w:highlight w:val="none"/>
        </w:rPr>
      </w:pPr>
      <w:bookmarkStart w:id="1" w:name="_Toc28359002"/>
      <w:bookmarkStart w:id="2" w:name="_Toc35393621"/>
      <w:bookmarkStart w:id="3" w:name="_Toc35393790"/>
      <w:bookmarkStart w:id="4" w:name="_Toc28359079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一、项目</w:t>
      </w:r>
      <w:bookmarkEnd w:id="1"/>
      <w:bookmarkEnd w:id="2"/>
      <w:bookmarkEnd w:id="3"/>
      <w:bookmarkEnd w:id="4"/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主要信息：</w:t>
      </w:r>
    </w:p>
    <w:p w14:paraId="57EC4777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1、项目编号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：YXGYJT202512041</w:t>
      </w:r>
    </w:p>
    <w:p w14:paraId="28C64CDD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2、项目名称：2026年排水公司污水设施巡查服务</w:t>
      </w:r>
    </w:p>
    <w:p w14:paraId="3516C430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bookmarkStart w:id="5" w:name="_GoBack"/>
      <w:bookmarkEnd w:id="5"/>
      <w:r>
        <w:rPr>
          <w:rFonts w:hint="eastAsia" w:ascii="宋体" w:hAnsi="宋体" w:eastAsia="宋体" w:cs="Times New Roman"/>
          <w:color w:val="000000"/>
          <w:sz w:val="28"/>
          <w:szCs w:val="28"/>
        </w:rPr>
        <w:t>3、项目简要说明：详见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文件</w:t>
      </w:r>
    </w:p>
    <w:p w14:paraId="7BD948A9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4、本项目预算金额及最高限价：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256.00万元</w:t>
      </w:r>
    </w:p>
    <w:p w14:paraId="22ABE1EB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二、供应商资格要求：</w:t>
      </w:r>
    </w:p>
    <w:p w14:paraId="0A642C6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具有独立承担民事责任的能力；</w:t>
      </w:r>
    </w:p>
    <w:p w14:paraId="15AB9C9D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具有良好的商业信誉和健全的财务会计制度；</w:t>
      </w:r>
    </w:p>
    <w:p w14:paraId="32A0E80E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有依法缴纳税收和社会保障资金的良好记录；</w:t>
      </w:r>
    </w:p>
    <w:p w14:paraId="5AC1827B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具有履行合同所必需的设备和专业技术能力；</w:t>
      </w:r>
    </w:p>
    <w:p w14:paraId="45E06931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不接受联合体，不接受中标后分包；</w:t>
      </w:r>
    </w:p>
    <w:p w14:paraId="70BC18DB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良好的信用记录：投标截止时间之前，未被“信用中国”网站列入失信被执行人、重大税收违法失信主体名单、严重失信主体名单，未被“中国政府采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购网”网站列入政府采购严重违法失信行为记录名单。</w:t>
      </w:r>
    </w:p>
    <w:p w14:paraId="7BE8B9CA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  <w:highlight w:val="none"/>
        </w:rPr>
      </w:pPr>
      <w:r>
        <w:rPr>
          <w:rFonts w:ascii="宋体" w:hAnsi="宋体" w:eastAsia="宋体" w:cs="Times New Roman"/>
          <w:b/>
          <w:color w:val="000000"/>
          <w:sz w:val="28"/>
          <w:szCs w:val="28"/>
          <w:highlight w:val="none"/>
        </w:rPr>
        <w:t>三、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投标及开标有关信息：</w:t>
      </w:r>
    </w:p>
    <w:p w14:paraId="0DAF70A1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1、提交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文件截止及开标时间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：2026年1月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时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分</w:t>
      </w:r>
    </w:p>
    <w:p w14:paraId="77B3C61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2、确定采购结果时间：评审结束后</w:t>
      </w:r>
    </w:p>
    <w:p w14:paraId="184DD8C8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3、地点：宜兴市公用环保集团有限公司二楼开标室</w:t>
      </w:r>
    </w:p>
    <w:p w14:paraId="5EDFF5F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4、其他有关事项：截止期后的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文件或未按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文件规定密封的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文件，恕不接受</w:t>
      </w:r>
    </w:p>
    <w:p w14:paraId="48FE9C5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5、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文件每份300元，在递交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文件时收取（售后不退，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活动终止的情况除外）。</w:t>
      </w:r>
    </w:p>
    <w:p w14:paraId="34AA56BE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四、公告期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限：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日至202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p w14:paraId="075E9031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五、本次招标联系事项：</w:t>
      </w:r>
    </w:p>
    <w:p w14:paraId="626A3A8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采购人：宜兴市排水有限公司</w:t>
      </w:r>
    </w:p>
    <w:p w14:paraId="62D901CC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吴先生</w:t>
      </w:r>
    </w:p>
    <w:p w14:paraId="5C241B6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联系电话：13961581104</w:t>
      </w:r>
    </w:p>
    <w:p w14:paraId="5768625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联系地址：宜兴环科园岳东路5号</w:t>
      </w:r>
    </w:p>
    <w:p w14:paraId="3FB2F9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493065D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采购代理机构：江苏鸿成工程项目管理有限公司</w:t>
      </w:r>
    </w:p>
    <w:p w14:paraId="7872C40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联系人：曹工</w:t>
      </w:r>
    </w:p>
    <w:p w14:paraId="4F4A2D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联系方式：13771319057</w:t>
      </w:r>
    </w:p>
    <w:p w14:paraId="4398D62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联系地址：宜兴市杏园路108号科创商务中心5号楼</w:t>
      </w:r>
    </w:p>
    <w:p w14:paraId="05B80AA1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1336213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有关本次招投标活动方面的问题,可来人、来函（传真）或电话联系。</w:t>
      </w:r>
    </w:p>
    <w:p w14:paraId="6A53816F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</w:p>
    <w:bookmarkEnd w:id="0"/>
    <w:p w14:paraId="6B69D1D7">
      <w:pPr>
        <w:adjustRightInd/>
        <w:snapToGrid/>
        <w:spacing w:after="0" w:line="360" w:lineRule="auto"/>
        <w:contextualSpacing/>
        <w:jc w:val="right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宜兴市排水有限公司</w:t>
      </w:r>
    </w:p>
    <w:p w14:paraId="754D2FD4">
      <w:pPr>
        <w:adjustRightInd/>
        <w:snapToGrid/>
        <w:spacing w:after="0" w:line="360" w:lineRule="auto"/>
        <w:contextualSpacing/>
        <w:jc w:val="right"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年1月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D31D50"/>
    <w:rsid w:val="0000768A"/>
    <w:rsid w:val="00010ACE"/>
    <w:rsid w:val="000137C1"/>
    <w:rsid w:val="00013951"/>
    <w:rsid w:val="000154A0"/>
    <w:rsid w:val="00023F67"/>
    <w:rsid w:val="00047F66"/>
    <w:rsid w:val="00075D14"/>
    <w:rsid w:val="000923EF"/>
    <w:rsid w:val="000A0F15"/>
    <w:rsid w:val="000A1E4D"/>
    <w:rsid w:val="000A29D5"/>
    <w:rsid w:val="000B241C"/>
    <w:rsid w:val="000C6FFE"/>
    <w:rsid w:val="000D52ED"/>
    <w:rsid w:val="000F3408"/>
    <w:rsid w:val="00131977"/>
    <w:rsid w:val="00137FC7"/>
    <w:rsid w:val="00146135"/>
    <w:rsid w:val="001503B2"/>
    <w:rsid w:val="00176C8D"/>
    <w:rsid w:val="00190E14"/>
    <w:rsid w:val="001D7D62"/>
    <w:rsid w:val="001E54B2"/>
    <w:rsid w:val="00210769"/>
    <w:rsid w:val="00235C54"/>
    <w:rsid w:val="00240C2B"/>
    <w:rsid w:val="00241A94"/>
    <w:rsid w:val="00270C4E"/>
    <w:rsid w:val="00272CF8"/>
    <w:rsid w:val="002A4AE7"/>
    <w:rsid w:val="002A5090"/>
    <w:rsid w:val="002A6ECB"/>
    <w:rsid w:val="002B405D"/>
    <w:rsid w:val="002C17E0"/>
    <w:rsid w:val="002D4F4D"/>
    <w:rsid w:val="002D534B"/>
    <w:rsid w:val="003139C7"/>
    <w:rsid w:val="00323B43"/>
    <w:rsid w:val="00336A23"/>
    <w:rsid w:val="0037195E"/>
    <w:rsid w:val="0038386A"/>
    <w:rsid w:val="00391F7E"/>
    <w:rsid w:val="00395456"/>
    <w:rsid w:val="003B0411"/>
    <w:rsid w:val="003B0633"/>
    <w:rsid w:val="003B49C4"/>
    <w:rsid w:val="003D37D8"/>
    <w:rsid w:val="003D401B"/>
    <w:rsid w:val="003D6B90"/>
    <w:rsid w:val="004160B8"/>
    <w:rsid w:val="00416658"/>
    <w:rsid w:val="00417E7B"/>
    <w:rsid w:val="00417FB5"/>
    <w:rsid w:val="00426133"/>
    <w:rsid w:val="004358AB"/>
    <w:rsid w:val="00454E6D"/>
    <w:rsid w:val="00461FE9"/>
    <w:rsid w:val="00472A2E"/>
    <w:rsid w:val="004A57F6"/>
    <w:rsid w:val="004C5595"/>
    <w:rsid w:val="005102A6"/>
    <w:rsid w:val="005504D8"/>
    <w:rsid w:val="0055121B"/>
    <w:rsid w:val="005603F0"/>
    <w:rsid w:val="0056229B"/>
    <w:rsid w:val="00563091"/>
    <w:rsid w:val="00572D2C"/>
    <w:rsid w:val="005A2159"/>
    <w:rsid w:val="005D325C"/>
    <w:rsid w:val="005F1AC9"/>
    <w:rsid w:val="00603D40"/>
    <w:rsid w:val="0062175C"/>
    <w:rsid w:val="006577C6"/>
    <w:rsid w:val="006C2CDA"/>
    <w:rsid w:val="006E4F74"/>
    <w:rsid w:val="006E5A2D"/>
    <w:rsid w:val="006E6955"/>
    <w:rsid w:val="006F3BA2"/>
    <w:rsid w:val="00715A46"/>
    <w:rsid w:val="00737884"/>
    <w:rsid w:val="00746FC2"/>
    <w:rsid w:val="00747C83"/>
    <w:rsid w:val="00775673"/>
    <w:rsid w:val="007857C4"/>
    <w:rsid w:val="00786E07"/>
    <w:rsid w:val="0079596C"/>
    <w:rsid w:val="007B0CA2"/>
    <w:rsid w:val="00827E40"/>
    <w:rsid w:val="00830D85"/>
    <w:rsid w:val="008953A7"/>
    <w:rsid w:val="008A2C2B"/>
    <w:rsid w:val="008B2CAB"/>
    <w:rsid w:val="008B3460"/>
    <w:rsid w:val="008B4A6D"/>
    <w:rsid w:val="008B7726"/>
    <w:rsid w:val="008D375B"/>
    <w:rsid w:val="008E166A"/>
    <w:rsid w:val="00925648"/>
    <w:rsid w:val="00942A1B"/>
    <w:rsid w:val="00946B90"/>
    <w:rsid w:val="009537BC"/>
    <w:rsid w:val="00964750"/>
    <w:rsid w:val="00966EE0"/>
    <w:rsid w:val="009725A9"/>
    <w:rsid w:val="00990CBF"/>
    <w:rsid w:val="009A4099"/>
    <w:rsid w:val="009B2354"/>
    <w:rsid w:val="009B39C6"/>
    <w:rsid w:val="00A02385"/>
    <w:rsid w:val="00A12EF3"/>
    <w:rsid w:val="00A25ECE"/>
    <w:rsid w:val="00A3024D"/>
    <w:rsid w:val="00A6015A"/>
    <w:rsid w:val="00A70C7F"/>
    <w:rsid w:val="00A83DF4"/>
    <w:rsid w:val="00AF0937"/>
    <w:rsid w:val="00B06BF6"/>
    <w:rsid w:val="00B11ECB"/>
    <w:rsid w:val="00B12DA4"/>
    <w:rsid w:val="00B27A78"/>
    <w:rsid w:val="00B42621"/>
    <w:rsid w:val="00B72451"/>
    <w:rsid w:val="00B75AD4"/>
    <w:rsid w:val="00B84D08"/>
    <w:rsid w:val="00B91005"/>
    <w:rsid w:val="00BA621B"/>
    <w:rsid w:val="00BA63CB"/>
    <w:rsid w:val="00BB1D78"/>
    <w:rsid w:val="00BD4663"/>
    <w:rsid w:val="00BD6761"/>
    <w:rsid w:val="00BE5173"/>
    <w:rsid w:val="00BF5214"/>
    <w:rsid w:val="00C063E5"/>
    <w:rsid w:val="00C2471A"/>
    <w:rsid w:val="00C377C5"/>
    <w:rsid w:val="00C43217"/>
    <w:rsid w:val="00C46330"/>
    <w:rsid w:val="00C5523E"/>
    <w:rsid w:val="00C60A9A"/>
    <w:rsid w:val="00C674AF"/>
    <w:rsid w:val="00C714FC"/>
    <w:rsid w:val="00C72297"/>
    <w:rsid w:val="00C841EF"/>
    <w:rsid w:val="00CC3C31"/>
    <w:rsid w:val="00CF67AD"/>
    <w:rsid w:val="00D10970"/>
    <w:rsid w:val="00D146CE"/>
    <w:rsid w:val="00D24612"/>
    <w:rsid w:val="00D31D50"/>
    <w:rsid w:val="00D41A8D"/>
    <w:rsid w:val="00D443FD"/>
    <w:rsid w:val="00D4658F"/>
    <w:rsid w:val="00D46BF7"/>
    <w:rsid w:val="00D51891"/>
    <w:rsid w:val="00D7380B"/>
    <w:rsid w:val="00D83408"/>
    <w:rsid w:val="00D864C2"/>
    <w:rsid w:val="00DA264F"/>
    <w:rsid w:val="00DB6F00"/>
    <w:rsid w:val="00DD49AE"/>
    <w:rsid w:val="00DE68CF"/>
    <w:rsid w:val="00DF024C"/>
    <w:rsid w:val="00DF44AA"/>
    <w:rsid w:val="00E03872"/>
    <w:rsid w:val="00E04999"/>
    <w:rsid w:val="00E1319C"/>
    <w:rsid w:val="00E223BB"/>
    <w:rsid w:val="00E300F2"/>
    <w:rsid w:val="00E67470"/>
    <w:rsid w:val="00E74AF8"/>
    <w:rsid w:val="00E74C1C"/>
    <w:rsid w:val="00E756F9"/>
    <w:rsid w:val="00E97C5D"/>
    <w:rsid w:val="00EC7A7A"/>
    <w:rsid w:val="00ED7706"/>
    <w:rsid w:val="00EE5285"/>
    <w:rsid w:val="00EF64AB"/>
    <w:rsid w:val="00F20035"/>
    <w:rsid w:val="00F20E86"/>
    <w:rsid w:val="00F21E0A"/>
    <w:rsid w:val="00F67696"/>
    <w:rsid w:val="00FA358D"/>
    <w:rsid w:val="00FC5F96"/>
    <w:rsid w:val="00FF0328"/>
    <w:rsid w:val="00FF6468"/>
    <w:rsid w:val="02A65A18"/>
    <w:rsid w:val="09A432A2"/>
    <w:rsid w:val="0E793177"/>
    <w:rsid w:val="106A3DFC"/>
    <w:rsid w:val="141412DD"/>
    <w:rsid w:val="15895891"/>
    <w:rsid w:val="16A258A9"/>
    <w:rsid w:val="16F2564D"/>
    <w:rsid w:val="189112C8"/>
    <w:rsid w:val="1ADF2293"/>
    <w:rsid w:val="1C6331FE"/>
    <w:rsid w:val="232F3DC1"/>
    <w:rsid w:val="2C7F577D"/>
    <w:rsid w:val="2CA03CB9"/>
    <w:rsid w:val="2EBF658E"/>
    <w:rsid w:val="31024A33"/>
    <w:rsid w:val="331738A7"/>
    <w:rsid w:val="34F30A97"/>
    <w:rsid w:val="352D1052"/>
    <w:rsid w:val="37922808"/>
    <w:rsid w:val="3AD273C0"/>
    <w:rsid w:val="3D0228C6"/>
    <w:rsid w:val="3DF918E3"/>
    <w:rsid w:val="3F010CE8"/>
    <w:rsid w:val="4CC845E9"/>
    <w:rsid w:val="51AA02F7"/>
    <w:rsid w:val="53B25DD1"/>
    <w:rsid w:val="58A96AA9"/>
    <w:rsid w:val="5A695AB4"/>
    <w:rsid w:val="5F950838"/>
    <w:rsid w:val="5FF4730D"/>
    <w:rsid w:val="66BD7952"/>
    <w:rsid w:val="67A46A9E"/>
    <w:rsid w:val="69452CBA"/>
    <w:rsid w:val="6A1C5DDE"/>
    <w:rsid w:val="6D5E2269"/>
    <w:rsid w:val="71665736"/>
    <w:rsid w:val="77A411C1"/>
    <w:rsid w:val="77E51F05"/>
    <w:rsid w:val="7EC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2">
    <w:name w:val="普通文字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宋体" w:hAnsi="Times New Roman" w:eastAsia="宋体" w:cs="Times New Roman"/>
      <w:sz w:val="24"/>
      <w:szCs w:val="20"/>
      <w:u w:color="000000"/>
    </w:rPr>
  </w:style>
  <w:style w:type="character" w:customStyle="1" w:styleId="13">
    <w:name w:val="批注文字 Char"/>
    <w:qFormat/>
    <w:uiPriority w:val="0"/>
    <w:rPr>
      <w:kern w:val="2"/>
      <w:sz w:val="21"/>
    </w:rPr>
  </w:style>
  <w:style w:type="character" w:customStyle="1" w:styleId="14">
    <w:name w:val="批注文字 Char1"/>
    <w:basedOn w:val="7"/>
    <w:link w:val="2"/>
    <w:semiHidden/>
    <w:qFormat/>
    <w:uiPriority w:val="99"/>
    <w:rPr>
      <w:rFonts w:ascii="Tahoma" w:hAnsi="Tahom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774</Characters>
  <Lines>1</Lines>
  <Paragraphs>1</Paragraphs>
  <TotalTime>5</TotalTime>
  <ScaleCrop>false</ScaleCrop>
  <LinksUpToDate>false</LinksUpToDate>
  <CharactersWithSpaces>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2023-06-25T07:29:00Z</dcterms:created>
  <dc:creator>LENOVO</dc:creator>
  <cp:lastModifiedBy>鸿成-曹敏</cp:lastModifiedBy>
  <dcterms:modified xsi:type="dcterms:W3CDTF">2026-01-20T07:20:19Z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E8804CBF4BF2437FAD8968FC98AB7628</vt:lpwstr>
  </property>
  <property fmtid="{D5CDD505-2E9C-101B-9397-08002B2CF9AE}" pid="4" name="KSOTemplateDocerSaveRecord">
    <vt:lpwstr>eyJoZGlkIjoiMmQ1YjMwMWFlNGExMWU5ODZhMDQ4YTg4NDQ4MjAwNjciLCJ1c2VySWQiOiIyNzU2NzM4MTgifQ==</vt:lpwstr>
  </property>
</Properties>
</file>