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A163B">
      <w:pPr>
        <w:jc w:val="center"/>
        <w:rPr>
          <w:rFonts w:hint="eastAsia" w:ascii="宋体" w:hAnsi="宋体" w:eastAsia="宋体"/>
          <w:b/>
          <w:bCs/>
          <w:color w:val="auto"/>
          <w:sz w:val="48"/>
          <w:szCs w:val="48"/>
          <w:highlight w:val="none"/>
          <w:lang w:eastAsia="zh-CN"/>
        </w:rPr>
      </w:pPr>
      <w:r>
        <w:rPr>
          <w:rFonts w:hint="eastAsia" w:ascii="宋体" w:hAnsi="宋体"/>
          <w:b/>
          <w:bCs/>
          <w:color w:val="auto"/>
          <w:sz w:val="48"/>
          <w:szCs w:val="48"/>
          <w:highlight w:val="none"/>
          <w:lang w:eastAsia="zh-CN"/>
        </w:rPr>
        <w:t>宜兴市离岸水域深井控藻工程不可避让论证服务项目采购</w:t>
      </w:r>
    </w:p>
    <w:p w14:paraId="499F9CE7">
      <w:pPr>
        <w:jc w:val="center"/>
        <w:rPr>
          <w:rFonts w:hint="eastAsia" w:ascii="黑体" w:hAnsi="黑体" w:eastAsia="黑体"/>
          <w:b/>
          <w:bCs/>
          <w:color w:val="auto"/>
          <w:sz w:val="96"/>
          <w:szCs w:val="96"/>
          <w:highlight w:val="none"/>
        </w:rPr>
      </w:pPr>
    </w:p>
    <w:p w14:paraId="3BB92BEB">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05EE5F32">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3931CC9A">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572C1ACA">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5CD5B73F">
      <w:pPr>
        <w:pStyle w:val="4"/>
        <w:rPr>
          <w:rFonts w:hint="eastAsia"/>
          <w:color w:val="auto"/>
          <w:highlight w:val="none"/>
        </w:rPr>
      </w:pPr>
    </w:p>
    <w:p w14:paraId="0AEED0AB">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YXGYJT202509031</w:t>
      </w:r>
    </w:p>
    <w:p w14:paraId="5933EF30">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江苏宜公投蓝藻资源开发有限公司</w:t>
      </w:r>
    </w:p>
    <w:p w14:paraId="67EFDBF6">
      <w:pPr>
        <w:jc w:val="center"/>
        <w:rPr>
          <w:rFonts w:hint="eastAsia" w:ascii="宋体" w:hAnsi="宋体" w:eastAsia="宋体"/>
          <w:color w:val="auto"/>
          <w:sz w:val="32"/>
          <w:highlight w:val="none"/>
          <w:lang w:eastAsia="zh-CN"/>
        </w:rPr>
      </w:pPr>
      <w:r>
        <w:rPr>
          <w:rFonts w:hint="eastAsia" w:ascii="宋体" w:hAnsi="宋体"/>
          <w:color w:val="auto"/>
          <w:sz w:val="32"/>
          <w:highlight w:val="none"/>
        </w:rPr>
        <w:t>项目名称：</w:t>
      </w:r>
      <w:r>
        <w:rPr>
          <w:rFonts w:hint="eastAsia" w:ascii="宋体" w:hAnsi="宋体"/>
          <w:color w:val="auto"/>
          <w:sz w:val="32"/>
          <w:highlight w:val="none"/>
          <w:lang w:eastAsia="zh-CN"/>
        </w:rPr>
        <w:t>宜兴市离岸水域深井控藻工程不可避让论证服务项目</w:t>
      </w:r>
    </w:p>
    <w:p w14:paraId="119AA0C0">
      <w:pPr>
        <w:jc w:val="center"/>
        <w:rPr>
          <w:rFonts w:hint="eastAsia" w:ascii="宋体" w:hAnsi="宋体"/>
          <w:color w:val="auto"/>
          <w:sz w:val="32"/>
          <w:highlight w:val="none"/>
        </w:rPr>
      </w:pPr>
      <w:r>
        <w:rPr>
          <w:rFonts w:hint="eastAsia" w:ascii="宋体" w:hAnsi="宋体"/>
          <w:color w:val="auto"/>
          <w:sz w:val="32"/>
          <w:highlight w:val="none"/>
        </w:rPr>
        <w:t>采购代理机构：江苏鸿成工程项目管理有限公司</w:t>
      </w:r>
    </w:p>
    <w:p w14:paraId="23492AAF">
      <w:pPr>
        <w:jc w:val="center"/>
        <w:rPr>
          <w:rFonts w:hint="eastAsia" w:ascii="宋体" w:hAnsi="宋体"/>
          <w:color w:val="auto"/>
          <w:sz w:val="32"/>
          <w:highlight w:val="none"/>
        </w:rPr>
      </w:pPr>
    </w:p>
    <w:p w14:paraId="09AA5F50">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〇</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十</w:t>
      </w:r>
      <w:r>
        <w:rPr>
          <w:rFonts w:hint="eastAsia" w:ascii="宋体" w:hAnsi="宋体"/>
          <w:color w:val="auto"/>
          <w:sz w:val="32"/>
          <w:highlight w:val="none"/>
        </w:rPr>
        <w:t>月</w:t>
      </w:r>
    </w:p>
    <w:p w14:paraId="4A57CBED">
      <w:pPr>
        <w:rPr>
          <w:rStyle w:val="13"/>
          <w:rFonts w:eastAsia="黑体"/>
          <w:bCs/>
          <w:color w:val="auto"/>
          <w:sz w:val="48"/>
          <w:highlight w:val="none"/>
        </w:rPr>
        <w:sectPr>
          <w:footerReference r:id="rId4" w:type="first"/>
          <w:footerReference r:id="rId3" w:type="default"/>
          <w:pgSz w:w="11906" w:h="16838"/>
          <w:pgMar w:top="1417" w:right="1701" w:bottom="1417" w:left="1701" w:header="851" w:footer="992" w:gutter="0"/>
          <w:cols w:space="720" w:num="1"/>
          <w:docGrid w:type="lines" w:linePitch="312" w:charSpace="0"/>
        </w:sectPr>
      </w:pPr>
    </w:p>
    <w:p w14:paraId="0A878D8A">
      <w:pPr>
        <w:jc w:val="center"/>
        <w:rPr>
          <w:rStyle w:val="13"/>
          <w:rFonts w:eastAsia="黑体"/>
          <w:bCs/>
          <w:color w:val="auto"/>
          <w:sz w:val="48"/>
          <w:highlight w:val="none"/>
        </w:rPr>
      </w:pPr>
      <w:r>
        <w:rPr>
          <w:rStyle w:val="13"/>
          <w:rFonts w:hint="eastAsia" w:eastAsia="黑体"/>
          <w:bCs/>
          <w:color w:val="auto"/>
          <w:sz w:val="48"/>
          <w:highlight w:val="none"/>
        </w:rPr>
        <w:t>目     录</w:t>
      </w:r>
    </w:p>
    <w:p w14:paraId="6905FC5F">
      <w:pPr>
        <w:jc w:val="center"/>
        <w:rPr>
          <w:rFonts w:ascii="黑体" w:eastAsia="黑体"/>
          <w:bCs/>
          <w:color w:val="auto"/>
          <w:sz w:val="30"/>
          <w:highlight w:val="none"/>
        </w:rPr>
      </w:pPr>
    </w:p>
    <w:p w14:paraId="1370ADEA">
      <w:pPr>
        <w:jc w:val="center"/>
        <w:rPr>
          <w:rFonts w:ascii="黑体" w:eastAsia="黑体"/>
          <w:bCs/>
          <w:color w:val="auto"/>
          <w:sz w:val="30"/>
          <w:highlight w:val="none"/>
        </w:rPr>
      </w:pPr>
    </w:p>
    <w:p w14:paraId="4CCBA4DE">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第一章 投标邀请函</w:t>
      </w:r>
      <w:r>
        <w:rPr>
          <w:rFonts w:hint="eastAsia" w:ascii="黑体" w:hAnsi="黑体" w:eastAsia="黑体"/>
          <w:color w:val="auto"/>
          <w:sz w:val="32"/>
          <w:highlight w:val="none"/>
        </w:rPr>
        <w:tab/>
      </w:r>
      <w:r>
        <w:rPr>
          <w:rFonts w:hint="eastAsia" w:ascii="黑体" w:hAnsi="黑体" w:eastAsia="黑体"/>
          <w:color w:val="auto"/>
          <w:sz w:val="32"/>
          <w:highlight w:val="none"/>
        </w:rPr>
        <w:t>- 2 -</w:t>
      </w:r>
    </w:p>
    <w:p w14:paraId="7FA206CD">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r>
        <w:rPr>
          <w:rFonts w:hint="eastAsia" w:ascii="黑体" w:hAnsi="黑体" w:eastAsia="黑体"/>
          <w:color w:val="auto"/>
          <w:sz w:val="32"/>
          <w:highlight w:val="none"/>
        </w:rPr>
        <w:tab/>
      </w:r>
      <w:r>
        <w:rPr>
          <w:rFonts w:hint="eastAsia" w:ascii="黑体" w:hAnsi="黑体" w:eastAsia="黑体"/>
          <w:color w:val="auto"/>
          <w:sz w:val="32"/>
          <w:highlight w:val="none"/>
        </w:rPr>
        <w:t>- 5 -</w:t>
      </w:r>
    </w:p>
    <w:p w14:paraId="5396CCFC">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r>
        <w:rPr>
          <w:rFonts w:hint="eastAsia" w:ascii="黑体" w:hAnsi="黑体" w:eastAsia="黑体"/>
          <w:color w:val="auto"/>
          <w:sz w:val="32"/>
          <w:highlight w:val="none"/>
        </w:rPr>
        <w:tab/>
      </w:r>
      <w:r>
        <w:rPr>
          <w:rFonts w:hint="eastAsia" w:ascii="黑体" w:hAnsi="黑体" w:eastAsia="黑体"/>
          <w:color w:val="auto"/>
          <w:sz w:val="32"/>
          <w:highlight w:val="none"/>
        </w:rPr>
        <w:t>- 17 -</w:t>
      </w:r>
    </w:p>
    <w:p w14:paraId="68147406">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r>
        <w:rPr>
          <w:rFonts w:hint="eastAsia" w:ascii="黑体" w:hAnsi="黑体" w:eastAsia="黑体"/>
          <w:color w:val="auto"/>
          <w:sz w:val="32"/>
          <w:highlight w:val="none"/>
        </w:rPr>
        <w:tab/>
      </w:r>
      <w:r>
        <w:rPr>
          <w:rFonts w:hint="eastAsia" w:ascii="黑体" w:hAnsi="黑体" w:eastAsia="黑体"/>
          <w:color w:val="auto"/>
          <w:sz w:val="32"/>
          <w:highlight w:val="none"/>
        </w:rPr>
        <w:t>- 20 -</w:t>
      </w:r>
    </w:p>
    <w:p w14:paraId="32E4F48C">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 合同书（格式文本）</w:t>
      </w:r>
      <w:r>
        <w:rPr>
          <w:rFonts w:hint="eastAsia" w:ascii="黑体" w:hAnsi="黑体" w:eastAsia="黑体"/>
          <w:color w:val="auto"/>
          <w:sz w:val="32"/>
          <w:highlight w:val="none"/>
        </w:rPr>
        <w:tab/>
      </w:r>
      <w:r>
        <w:rPr>
          <w:rFonts w:hint="eastAsia" w:ascii="黑体" w:hAnsi="黑体" w:eastAsia="黑体"/>
          <w:color w:val="auto"/>
          <w:sz w:val="32"/>
          <w:highlight w:val="none"/>
        </w:rPr>
        <w:t>- 22 -</w:t>
      </w:r>
    </w:p>
    <w:p w14:paraId="4E2670C9">
      <w:pPr>
        <w:pStyle w:val="7"/>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tab/>
      </w:r>
      <w:r>
        <w:rPr>
          <w:rFonts w:hint="eastAsia" w:ascii="黑体" w:hAnsi="黑体" w:eastAsia="黑体"/>
          <w:color w:val="auto"/>
          <w:sz w:val="32"/>
          <w:highlight w:val="none"/>
        </w:rPr>
        <w:t>- 27 -</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14:paraId="0CB7184D">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60184224">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0C28F1F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宜兴</w:t>
      </w:r>
      <w:bookmarkStart w:id="93" w:name="_GoBack"/>
      <w:bookmarkEnd w:id="93"/>
      <w:r>
        <w:rPr>
          <w:rFonts w:hint="eastAsia" w:ascii="宋体" w:hAnsi="宋体"/>
          <w:bCs/>
          <w:color w:val="auto"/>
          <w:sz w:val="24"/>
          <w:szCs w:val="24"/>
          <w:highlight w:val="none"/>
          <w:lang w:eastAsia="zh-CN"/>
        </w:rPr>
        <w:t>市离岸水域深井控藻工程不可避让论证服务项目</w:t>
      </w:r>
      <w:r>
        <w:rPr>
          <w:rFonts w:hint="eastAsia" w:ascii="宋体" w:hAnsi="宋体"/>
          <w:bCs/>
          <w:color w:val="auto"/>
          <w:sz w:val="24"/>
          <w:szCs w:val="24"/>
          <w:highlight w:val="none"/>
        </w:rPr>
        <w:t>进行公开招标，欢迎你单位参加投标并提请注意下列附表中的相关事项：</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7944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14:paraId="18035400">
            <w:pPr>
              <w:snapToGrid w:val="0"/>
              <w:spacing w:line="400" w:lineRule="exact"/>
              <w:jc w:val="center"/>
              <w:rPr>
                <w:rFonts w:ascii="宋体" w:hAnsi="宋体"/>
                <w:bCs/>
                <w:color w:val="auto"/>
                <w:sz w:val="24"/>
                <w:szCs w:val="24"/>
                <w:highlight w:val="none"/>
              </w:rPr>
            </w:pPr>
            <w:bookmarkStart w:id="2" w:name="_Toc11477"/>
            <w:bookmarkStart w:id="3" w:name="_Toc29543"/>
            <w:r>
              <w:rPr>
                <w:rFonts w:hint="eastAsia" w:ascii="宋体" w:hAnsi="宋体"/>
                <w:bCs/>
                <w:color w:val="auto"/>
                <w:sz w:val="24"/>
                <w:szCs w:val="24"/>
                <w:highlight w:val="none"/>
              </w:rPr>
              <w:t>序号</w:t>
            </w:r>
          </w:p>
        </w:tc>
        <w:tc>
          <w:tcPr>
            <w:tcW w:w="8198" w:type="dxa"/>
            <w:gridSpan w:val="4"/>
            <w:noWrap w:val="0"/>
            <w:vAlign w:val="top"/>
          </w:tcPr>
          <w:p w14:paraId="6B523EE1">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3447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733" w:type="dxa"/>
            <w:noWrap w:val="0"/>
            <w:vAlign w:val="center"/>
          </w:tcPr>
          <w:p w14:paraId="7195DCF3">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14:paraId="53AFC4EA">
            <w:pPr>
              <w:snapToGrid w:val="0"/>
              <w:spacing w:line="400" w:lineRule="exact"/>
              <w:jc w:val="left"/>
              <w:rPr>
                <w:rFonts w:hint="eastAsia" w:ascii="宋体" w:hAnsi="宋体" w:eastAsia="宋体"/>
                <w:bCs/>
                <w:color w:val="auto"/>
                <w:sz w:val="24"/>
                <w:szCs w:val="24"/>
                <w:highlight w:val="none"/>
                <w:lang w:eastAsia="zh-CN"/>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江苏宜公投蓝藻资源开发有限公司</w:t>
            </w:r>
          </w:p>
          <w:p w14:paraId="1CEEB41D">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：YXGYJT202509031</w:t>
            </w:r>
          </w:p>
          <w:p w14:paraId="1D00B5CE">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采购代理机构：江苏鸿成工程项目管理有限公司</w:t>
            </w:r>
          </w:p>
          <w:p w14:paraId="3C8CBE05">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宜兴市离岸水域深井控藻工程不可避让论证服务项目</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0117539C">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采购方式：</w:t>
            </w:r>
            <w:r>
              <w:rPr>
                <w:rFonts w:hint="eastAsia" w:ascii="宋体" w:hAnsi="宋体" w:cs="宋体"/>
                <w:color w:val="auto"/>
                <w:sz w:val="24"/>
                <w:szCs w:val="24"/>
                <w:highlight w:val="none"/>
              </w:rPr>
              <w:t>集团网站公开招标（代理）</w:t>
            </w:r>
            <w:r>
              <w:rPr>
                <w:rFonts w:hint="eastAsia" w:ascii="宋体" w:hAnsi="宋体"/>
                <w:bCs/>
                <w:color w:val="auto"/>
                <w:sz w:val="24"/>
                <w:szCs w:val="24"/>
                <w:highlight w:val="none"/>
              </w:rPr>
              <w:t xml:space="preserve"> </w:t>
            </w:r>
          </w:p>
          <w:p w14:paraId="2A5496DC">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评标方法：综合评分法</w:t>
            </w:r>
          </w:p>
          <w:bookmarkEnd w:id="4"/>
          <w:p w14:paraId="47B1F2E5">
            <w:pPr>
              <w:rPr>
                <w:rFonts w:hint="default" w:ascii="宋体" w:hAnsi="宋体" w:eastAsia="宋体" w:cs="Times New Roman"/>
                <w:bCs/>
                <w:color w:val="auto"/>
                <w:sz w:val="24"/>
                <w:szCs w:val="24"/>
                <w:highlight w:val="none"/>
                <w:lang w:val="en-US" w:eastAsia="zh-CN"/>
              </w:rPr>
            </w:pPr>
            <w:r>
              <w:rPr>
                <w:rFonts w:ascii="宋体" w:hAnsi="宋体"/>
                <w:bCs/>
                <w:color w:val="auto"/>
                <w:sz w:val="24"/>
                <w:szCs w:val="24"/>
                <w:highlight w:val="none"/>
              </w:rPr>
              <w:t>本</w:t>
            </w:r>
            <w:r>
              <w:rPr>
                <w:rFonts w:ascii="宋体" w:hAnsi="宋体" w:eastAsia="宋体" w:cs="Times New Roman"/>
                <w:bCs/>
                <w:color w:val="auto"/>
                <w:sz w:val="24"/>
                <w:szCs w:val="24"/>
                <w:highlight w:val="none"/>
              </w:rPr>
              <w:t>项目预算</w:t>
            </w:r>
            <w:r>
              <w:rPr>
                <w:rFonts w:hint="eastAsia" w:ascii="宋体" w:hAnsi="宋体" w:eastAsia="宋体" w:cs="Times New Roman"/>
                <w:bCs/>
                <w:color w:val="auto"/>
                <w:sz w:val="24"/>
                <w:szCs w:val="24"/>
                <w:highlight w:val="none"/>
              </w:rPr>
              <w:t>及最高限价</w:t>
            </w:r>
            <w:r>
              <w:rPr>
                <w:rFonts w:ascii="宋体" w:hAnsi="宋体" w:eastAsia="宋体" w:cs="Times New Roman"/>
                <w:bCs/>
                <w:color w:val="auto"/>
                <w:sz w:val="24"/>
                <w:szCs w:val="24"/>
                <w:highlight w:val="none"/>
              </w:rPr>
              <w:t>为：</w:t>
            </w:r>
            <w:r>
              <w:rPr>
                <w:rFonts w:hint="eastAsia" w:ascii="宋体" w:hAnsi="宋体" w:cs="Times New Roman"/>
                <w:bCs/>
                <w:color w:val="auto"/>
                <w:sz w:val="24"/>
                <w:szCs w:val="24"/>
                <w:highlight w:val="none"/>
                <w:lang w:val="en-US" w:eastAsia="zh-CN"/>
              </w:rPr>
              <w:t>25</w:t>
            </w:r>
            <w:r>
              <w:rPr>
                <w:rFonts w:hint="eastAsia" w:ascii="宋体" w:hAnsi="宋体" w:eastAsia="宋体" w:cs="Times New Roman"/>
                <w:bCs/>
                <w:color w:val="auto"/>
                <w:sz w:val="24"/>
                <w:szCs w:val="24"/>
                <w:highlight w:val="none"/>
                <w:lang w:val="en-US" w:eastAsia="zh-CN"/>
              </w:rPr>
              <w:t>万</w:t>
            </w:r>
          </w:p>
        </w:tc>
      </w:tr>
      <w:tr w14:paraId="75E3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6D0EDF22">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6D5A7C3D">
            <w:pPr>
              <w:pStyle w:val="14"/>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14:paraId="0A687345">
            <w:pPr>
              <w:pStyle w:val="14"/>
              <w:spacing w:line="276" w:lineRule="auto"/>
              <w:rPr>
                <w:rFonts w:hint="eastAsia"/>
                <w:color w:val="auto"/>
                <w:highlight w:val="none"/>
                <w:lang w:val="zh-CN"/>
              </w:rPr>
            </w:pPr>
            <w:r>
              <w:rPr>
                <w:rFonts w:hint="eastAsia"/>
                <w:color w:val="auto"/>
                <w:highlight w:val="none"/>
                <w:lang w:val="zh-CN"/>
              </w:rPr>
              <w:t>2.1投标人参加本次采购活动应具备下列资格条件：</w:t>
            </w:r>
          </w:p>
          <w:p w14:paraId="1AD9ECE6">
            <w:pPr>
              <w:pStyle w:val="14"/>
              <w:spacing w:line="276" w:lineRule="auto"/>
              <w:rPr>
                <w:rFonts w:hint="eastAsia"/>
                <w:color w:val="auto"/>
                <w:highlight w:val="none"/>
                <w:lang w:val="zh-CN"/>
              </w:rPr>
            </w:pPr>
            <w:r>
              <w:rPr>
                <w:rFonts w:hint="eastAsia"/>
                <w:color w:val="auto"/>
                <w:highlight w:val="none"/>
                <w:lang w:val="zh-CN"/>
              </w:rPr>
              <w:t>①具有独立承担民事责任的能力；</w:t>
            </w:r>
          </w:p>
          <w:p w14:paraId="3CE315B9">
            <w:pPr>
              <w:pStyle w:val="14"/>
              <w:spacing w:line="276" w:lineRule="auto"/>
              <w:rPr>
                <w:rFonts w:hint="eastAsia"/>
                <w:color w:val="auto"/>
                <w:highlight w:val="none"/>
                <w:lang w:val="zh-CN"/>
              </w:rPr>
            </w:pPr>
            <w:r>
              <w:rPr>
                <w:rFonts w:hint="eastAsia"/>
                <w:color w:val="auto"/>
                <w:highlight w:val="none"/>
                <w:lang w:val="zh-CN"/>
              </w:rPr>
              <w:t>②具有良好的商业信誉和健全的财务会计制度；</w:t>
            </w:r>
          </w:p>
          <w:p w14:paraId="50D81A0F">
            <w:pPr>
              <w:pStyle w:val="14"/>
              <w:spacing w:line="276" w:lineRule="auto"/>
              <w:rPr>
                <w:rFonts w:hint="eastAsia"/>
                <w:color w:val="auto"/>
                <w:highlight w:val="none"/>
                <w:lang w:val="zh-CN"/>
              </w:rPr>
            </w:pPr>
            <w:r>
              <w:rPr>
                <w:rFonts w:hint="eastAsia"/>
                <w:color w:val="auto"/>
                <w:highlight w:val="none"/>
                <w:lang w:val="zh-CN"/>
              </w:rPr>
              <w:t>③有依法缴纳税收和社会保障资金的良好记录；</w:t>
            </w:r>
          </w:p>
          <w:p w14:paraId="40B1C590">
            <w:pPr>
              <w:pStyle w:val="14"/>
              <w:spacing w:line="276" w:lineRule="auto"/>
              <w:rPr>
                <w:rFonts w:hint="eastAsia"/>
                <w:color w:val="auto"/>
                <w:highlight w:val="none"/>
                <w:lang w:val="zh-CN"/>
              </w:rPr>
            </w:pPr>
            <w:r>
              <w:rPr>
                <w:rFonts w:hint="eastAsia"/>
                <w:color w:val="auto"/>
                <w:highlight w:val="none"/>
                <w:lang w:val="zh-CN"/>
              </w:rPr>
              <w:t>④具有履行合同所必需的设备和专业技术能力；</w:t>
            </w:r>
          </w:p>
          <w:p w14:paraId="145F9D1A">
            <w:pPr>
              <w:pStyle w:val="14"/>
              <w:spacing w:line="276" w:lineRule="auto"/>
              <w:rPr>
                <w:rFonts w:hint="eastAsia"/>
                <w:color w:val="auto"/>
                <w:highlight w:val="none"/>
                <w:lang w:val="zh-CN"/>
              </w:rPr>
            </w:pPr>
            <w:r>
              <w:rPr>
                <w:rFonts w:hint="eastAsia"/>
                <w:color w:val="auto"/>
                <w:highlight w:val="none"/>
                <w:lang w:val="zh-CN"/>
              </w:rPr>
              <w:t>⑤</w:t>
            </w:r>
            <w:r>
              <w:rPr>
                <w:rFonts w:hint="eastAsia"/>
                <w:color w:val="auto"/>
                <w:highlight w:val="none"/>
                <w:lang w:val="en-US" w:eastAsia="zh-CN"/>
              </w:rPr>
              <w:t>不</w:t>
            </w:r>
            <w:r>
              <w:rPr>
                <w:rFonts w:hint="eastAsia"/>
                <w:color w:val="auto"/>
                <w:highlight w:val="none"/>
                <w:lang w:val="zh-CN"/>
              </w:rPr>
              <w:t>接受联合体，不接受中标后分包；</w:t>
            </w:r>
          </w:p>
          <w:p w14:paraId="28A78374">
            <w:pPr>
              <w:pStyle w:val="14"/>
              <w:spacing w:line="276" w:lineRule="auto"/>
              <w:rPr>
                <w:rFonts w:hint="default"/>
                <w:color w:val="auto"/>
                <w:highlight w:val="none"/>
                <w:lang w:val="en-US"/>
              </w:rPr>
            </w:pPr>
            <w:r>
              <w:rPr>
                <w:rFonts w:hint="eastAsia"/>
                <w:color w:val="auto"/>
                <w:highlight w:val="none"/>
                <w:lang w:val="zh-CN"/>
              </w:rPr>
              <w:t>⑥良</w:t>
            </w:r>
            <w:r>
              <w:rPr>
                <w:rFonts w:hint="eastAsia" w:ascii="宋体" w:hAnsi="Times New Roman" w:eastAsia="宋体" w:cs="Times New Roman"/>
                <w:color w:val="auto"/>
                <w:highlight w:val="none"/>
                <w:lang w:val="zh-CN"/>
              </w:rPr>
              <w:t>好的信用记录。</w:t>
            </w:r>
          </w:p>
        </w:tc>
      </w:tr>
      <w:tr w14:paraId="53FA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3" w:type="dxa"/>
            <w:vMerge w:val="continue"/>
            <w:noWrap w:val="0"/>
            <w:vAlign w:val="center"/>
          </w:tcPr>
          <w:p w14:paraId="33267F53">
            <w:pPr>
              <w:snapToGrid w:val="0"/>
              <w:spacing w:line="400" w:lineRule="exact"/>
              <w:rPr>
                <w:color w:val="auto"/>
                <w:highlight w:val="none"/>
              </w:rPr>
            </w:pPr>
          </w:p>
        </w:tc>
        <w:tc>
          <w:tcPr>
            <w:tcW w:w="516" w:type="dxa"/>
            <w:vMerge w:val="continue"/>
            <w:noWrap w:val="0"/>
            <w:vAlign w:val="top"/>
          </w:tcPr>
          <w:p w14:paraId="473ECC20">
            <w:pPr>
              <w:snapToGrid w:val="0"/>
              <w:spacing w:line="400" w:lineRule="exact"/>
              <w:rPr>
                <w:color w:val="auto"/>
                <w:highlight w:val="none"/>
              </w:rPr>
            </w:pPr>
          </w:p>
        </w:tc>
        <w:tc>
          <w:tcPr>
            <w:tcW w:w="7682" w:type="dxa"/>
            <w:gridSpan w:val="3"/>
            <w:noWrap w:val="0"/>
            <w:vAlign w:val="top"/>
          </w:tcPr>
          <w:p w14:paraId="1E43405A">
            <w:pPr>
              <w:pStyle w:val="14"/>
              <w:rPr>
                <w:rFonts w:hint="eastAsia" w:hAnsi="宋体" w:cs="宋体"/>
                <w:bCs/>
                <w:color w:val="auto"/>
                <w:kern w:val="2"/>
                <w:szCs w:val="24"/>
                <w:highlight w:val="none"/>
              </w:rPr>
            </w:pPr>
            <w:r>
              <w:rPr>
                <w:rFonts w:hint="eastAsia"/>
                <w:color w:val="auto"/>
                <w:highlight w:val="none"/>
              </w:rPr>
              <w:t>2.2</w:t>
            </w:r>
            <w:r>
              <w:rPr>
                <w:rFonts w:hint="eastAsia"/>
                <w:color w:val="auto"/>
                <w:highlight w:val="none"/>
                <w:lang w:val="zh-CN"/>
              </w:rPr>
              <w:t>投标保证金：</w:t>
            </w:r>
            <w:r>
              <w:rPr>
                <w:rFonts w:hint="eastAsia" w:hAnsi="宋体" w:cs="宋体"/>
                <w:color w:val="auto"/>
                <w:szCs w:val="24"/>
                <w:highlight w:val="none"/>
              </w:rPr>
              <w:t>采购人根据项目的实际情况，要求投标人在</w:t>
            </w:r>
            <w:r>
              <w:rPr>
                <w:rFonts w:hint="eastAsia" w:hAnsi="宋体" w:cs="宋体"/>
                <w:color w:val="auto"/>
                <w:szCs w:val="24"/>
                <w:highlight w:val="none"/>
              </w:rPr>
              <w:t>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10</w:t>
            </w:r>
            <w:r>
              <w:rPr>
                <w:rFonts w:hint="eastAsia" w:hAnsi="宋体" w:cs="宋体"/>
                <w:color w:val="auto"/>
                <w:szCs w:val="24"/>
                <w:highlight w:val="none"/>
              </w:rPr>
              <w:t>月</w:t>
            </w:r>
            <w:r>
              <w:rPr>
                <w:rFonts w:hint="eastAsia" w:hAnsi="宋体" w:cs="宋体"/>
                <w:color w:val="auto"/>
                <w:szCs w:val="24"/>
                <w:highlight w:val="none"/>
                <w:lang w:val="en-US" w:eastAsia="zh-CN"/>
              </w:rPr>
              <w:t>16</w:t>
            </w:r>
            <w:r>
              <w:rPr>
                <w:rFonts w:hint="eastAsia" w:hAnsi="宋体" w:cs="宋体"/>
                <w:color w:val="auto"/>
                <w:szCs w:val="24"/>
                <w:highlight w:val="none"/>
              </w:rPr>
              <w:t>日</w:t>
            </w:r>
            <w:r>
              <w:rPr>
                <w:rFonts w:hint="eastAsia" w:hAnsi="宋体" w:cs="宋体"/>
                <w:color w:val="auto"/>
                <w:szCs w:val="24"/>
                <w:highlight w:val="none"/>
                <w:lang w:val="en-US" w:eastAsia="zh-CN"/>
              </w:rPr>
              <w:t>17:00</w:t>
            </w:r>
            <w:r>
              <w:rPr>
                <w:rFonts w:hint="eastAsia" w:hAnsi="宋体" w:cs="宋体"/>
                <w:color w:val="auto"/>
                <w:szCs w:val="24"/>
                <w:highlight w:val="none"/>
              </w:rPr>
              <w:t>至202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10</w:t>
            </w:r>
            <w:r>
              <w:rPr>
                <w:rFonts w:hint="eastAsia" w:hAnsi="宋体" w:cs="宋体"/>
                <w:color w:val="auto"/>
                <w:szCs w:val="24"/>
                <w:highlight w:val="none"/>
              </w:rPr>
              <w:t>月</w:t>
            </w:r>
            <w:r>
              <w:rPr>
                <w:rFonts w:hint="eastAsia" w:hAnsi="宋体" w:cs="宋体"/>
                <w:color w:val="auto"/>
                <w:szCs w:val="24"/>
                <w:highlight w:val="none"/>
                <w:lang w:val="en-US" w:eastAsia="zh-CN"/>
              </w:rPr>
              <w:t>23</w:t>
            </w:r>
            <w:r>
              <w:rPr>
                <w:rFonts w:hint="eastAsia" w:hAnsi="宋体" w:cs="宋体"/>
                <w:color w:val="auto"/>
                <w:szCs w:val="24"/>
                <w:highlight w:val="none"/>
              </w:rPr>
              <w:t>日</w:t>
            </w:r>
            <w:r>
              <w:rPr>
                <w:rFonts w:hint="eastAsia" w:hAnsi="宋体" w:cs="宋体"/>
                <w:color w:val="auto"/>
                <w:szCs w:val="24"/>
                <w:highlight w:val="none"/>
                <w:lang w:val="en-US" w:eastAsia="zh-CN"/>
              </w:rPr>
              <w:t>08:50</w:t>
            </w:r>
            <w:r>
              <w:rPr>
                <w:rFonts w:hint="eastAsia" w:hAnsi="宋体" w:cs="宋体"/>
                <w:color w:val="auto"/>
                <w:szCs w:val="24"/>
                <w:highlight w:val="none"/>
              </w:rPr>
              <w:t>前</w:t>
            </w:r>
            <w:r>
              <w:rPr>
                <w:rFonts w:hint="eastAsia" w:hAnsi="宋体" w:cs="宋体"/>
                <w:color w:val="auto"/>
                <w:szCs w:val="24"/>
                <w:highlight w:val="none"/>
              </w:rPr>
              <w:t>须交纳投标保证</w:t>
            </w:r>
            <w:r>
              <w:rPr>
                <w:rFonts w:hint="eastAsia" w:hAnsi="宋体" w:cs="宋体"/>
                <w:color w:val="auto"/>
                <w:szCs w:val="24"/>
                <w:highlight w:val="none"/>
                <w:lang w:val="en-US" w:eastAsia="zh-CN"/>
              </w:rPr>
              <w:t>金</w:t>
            </w:r>
            <w:r>
              <w:rPr>
                <w:rFonts w:hint="eastAsia" w:hAnsi="宋体" w:cs="宋体"/>
                <w:b/>
                <w:bCs/>
                <w:color w:val="auto"/>
                <w:szCs w:val="24"/>
                <w:highlight w:val="none"/>
                <w:lang w:val="en-US" w:eastAsia="zh-CN"/>
              </w:rPr>
              <w:t>肆仟</w:t>
            </w:r>
            <w:r>
              <w:rPr>
                <w:rFonts w:hint="eastAsia" w:hAnsi="宋体" w:cs="宋体"/>
                <w:b/>
                <w:bCs/>
                <w:color w:val="auto"/>
                <w:szCs w:val="24"/>
                <w:highlight w:val="none"/>
              </w:rPr>
              <w:t>元</w:t>
            </w:r>
            <w:r>
              <w:rPr>
                <w:rFonts w:hint="eastAsia" w:hAnsi="宋体" w:cs="宋体"/>
                <w:color w:val="auto"/>
                <w:szCs w:val="24"/>
                <w:highlight w:val="none"/>
              </w:rPr>
              <w:t>人民币。交纳投标保证金的单位名称必须与参加投标的投标人名称一致</w:t>
            </w:r>
            <w:r>
              <w:rPr>
                <w:rFonts w:hint="eastAsia" w:hAnsi="宋体" w:cs="宋体"/>
                <w:bCs/>
                <w:color w:val="auto"/>
                <w:kern w:val="2"/>
                <w:szCs w:val="24"/>
                <w:highlight w:val="none"/>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2806"/>
              <w:gridCol w:w="767"/>
              <w:gridCol w:w="2221"/>
            </w:tblGrid>
            <w:tr w14:paraId="2219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44" w:type="dxa"/>
                  <w:noWrap w:val="0"/>
                  <w:vAlign w:val="center"/>
                </w:tcPr>
                <w:p w14:paraId="67A05E2E">
                  <w:pPr>
                    <w:jc w:val="center"/>
                    <w:rPr>
                      <w:rFonts w:hAnsi="宋体"/>
                      <w:bCs/>
                      <w:color w:val="auto"/>
                      <w:sz w:val="21"/>
                      <w:szCs w:val="21"/>
                      <w:highlight w:val="none"/>
                      <w:lang w:val="zh-CN"/>
                    </w:rPr>
                  </w:pPr>
                  <w:r>
                    <w:rPr>
                      <w:rFonts w:hint="eastAsia"/>
                      <w:color w:val="auto"/>
                      <w:sz w:val="21"/>
                      <w:szCs w:val="21"/>
                      <w:highlight w:val="none"/>
                    </w:rPr>
                    <w:t>交纳投标保证金账户名称</w:t>
                  </w:r>
                </w:p>
              </w:tc>
              <w:tc>
                <w:tcPr>
                  <w:tcW w:w="2806" w:type="dxa"/>
                  <w:noWrap w:val="0"/>
                  <w:vAlign w:val="center"/>
                </w:tcPr>
                <w:p w14:paraId="10BE3B91">
                  <w:pPr>
                    <w:jc w:val="center"/>
                    <w:rPr>
                      <w:rFonts w:hint="eastAsia" w:hAnsi="宋体" w:eastAsia="宋体"/>
                      <w:bCs/>
                      <w:color w:val="auto"/>
                      <w:sz w:val="21"/>
                      <w:szCs w:val="21"/>
                      <w:highlight w:val="none"/>
                      <w:lang w:val="zh-CN" w:eastAsia="zh-CN"/>
                    </w:rPr>
                  </w:pPr>
                  <w:r>
                    <w:rPr>
                      <w:rFonts w:hint="eastAsia"/>
                      <w:color w:val="auto"/>
                      <w:sz w:val="21"/>
                      <w:szCs w:val="21"/>
                      <w:highlight w:val="none"/>
                      <w:lang w:eastAsia="zh-CN"/>
                    </w:rPr>
                    <w:t>宜兴市公用环保集团有限公司</w:t>
                  </w:r>
                </w:p>
              </w:tc>
              <w:tc>
                <w:tcPr>
                  <w:tcW w:w="767" w:type="dxa"/>
                  <w:vMerge w:val="restart"/>
                  <w:noWrap w:val="0"/>
                  <w:vAlign w:val="center"/>
                </w:tcPr>
                <w:p w14:paraId="3D06C2A4">
                  <w:pPr>
                    <w:jc w:val="center"/>
                    <w:rPr>
                      <w:rFonts w:hAnsi="宋体"/>
                      <w:bCs/>
                      <w:color w:val="auto"/>
                      <w:sz w:val="21"/>
                      <w:szCs w:val="21"/>
                      <w:highlight w:val="none"/>
                      <w:lang w:val="zh-CN"/>
                    </w:rPr>
                  </w:pPr>
                  <w:r>
                    <w:rPr>
                      <w:rFonts w:hint="eastAsia" w:hAnsi="宋体"/>
                      <w:bCs/>
                      <w:color w:val="auto"/>
                      <w:sz w:val="21"/>
                      <w:szCs w:val="21"/>
                      <w:highlight w:val="none"/>
                      <w:lang w:val="zh-CN"/>
                    </w:rPr>
                    <w:t>交纳</w:t>
                  </w:r>
                </w:p>
                <w:p w14:paraId="7F71F99D">
                  <w:pPr>
                    <w:jc w:val="center"/>
                    <w:rPr>
                      <w:rFonts w:hAnsi="宋体"/>
                      <w:bCs/>
                      <w:color w:val="auto"/>
                      <w:sz w:val="21"/>
                      <w:szCs w:val="21"/>
                      <w:highlight w:val="none"/>
                      <w:lang w:val="zh-CN"/>
                    </w:rPr>
                  </w:pPr>
                  <w:r>
                    <w:rPr>
                      <w:rFonts w:hint="eastAsia" w:hAnsi="宋体"/>
                      <w:bCs/>
                      <w:color w:val="auto"/>
                      <w:sz w:val="21"/>
                      <w:szCs w:val="21"/>
                      <w:highlight w:val="none"/>
                      <w:lang w:val="zh-CN"/>
                    </w:rPr>
                    <w:t>形式</w:t>
                  </w:r>
                </w:p>
              </w:tc>
              <w:tc>
                <w:tcPr>
                  <w:tcW w:w="2221" w:type="dxa"/>
                  <w:vMerge w:val="restart"/>
                  <w:noWrap w:val="0"/>
                  <w:vAlign w:val="center"/>
                </w:tcPr>
                <w:p w14:paraId="0010AC15">
                  <w:pPr>
                    <w:jc w:val="center"/>
                    <w:rPr>
                      <w:rFonts w:hAnsi="宋体"/>
                      <w:bCs/>
                      <w:color w:val="auto"/>
                      <w:sz w:val="21"/>
                      <w:szCs w:val="21"/>
                      <w:highlight w:val="none"/>
                      <w:lang w:val="zh-CN"/>
                    </w:rPr>
                  </w:pPr>
                  <w:r>
                    <w:rPr>
                      <w:rFonts w:hint="eastAsia"/>
                      <w:color w:val="auto"/>
                      <w:sz w:val="21"/>
                      <w:szCs w:val="21"/>
                      <w:highlight w:val="none"/>
                    </w:rPr>
                    <w:t>投标保证金的交纳形式限于转账（不接受其他形式的投标保证金）</w:t>
                  </w:r>
                </w:p>
              </w:tc>
            </w:tr>
            <w:tr w14:paraId="018B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44" w:type="dxa"/>
                  <w:noWrap w:val="0"/>
                  <w:vAlign w:val="center"/>
                </w:tcPr>
                <w:p w14:paraId="405AB69E">
                  <w:pPr>
                    <w:jc w:val="center"/>
                    <w:rPr>
                      <w:color w:val="auto"/>
                      <w:sz w:val="21"/>
                      <w:szCs w:val="21"/>
                      <w:highlight w:val="none"/>
                    </w:rPr>
                  </w:pPr>
                  <w:r>
                    <w:rPr>
                      <w:rFonts w:hint="eastAsia" w:hAnsi="宋体"/>
                      <w:bCs/>
                      <w:color w:val="auto"/>
                      <w:sz w:val="21"/>
                      <w:szCs w:val="21"/>
                      <w:highlight w:val="none"/>
                      <w:lang w:val="zh-CN"/>
                    </w:rPr>
                    <w:t>开户银行</w:t>
                  </w:r>
                </w:p>
              </w:tc>
              <w:tc>
                <w:tcPr>
                  <w:tcW w:w="2806" w:type="dxa"/>
                  <w:noWrap w:val="0"/>
                  <w:vAlign w:val="center"/>
                </w:tcPr>
                <w:p w14:paraId="617D3AF6">
                  <w:pPr>
                    <w:jc w:val="center"/>
                    <w:rPr>
                      <w:rFonts w:ascii="宋体" w:hAnsi="宋体"/>
                      <w:bCs/>
                      <w:color w:val="auto"/>
                      <w:sz w:val="21"/>
                      <w:szCs w:val="21"/>
                      <w:highlight w:val="none"/>
                    </w:rPr>
                  </w:pPr>
                  <w:r>
                    <w:rPr>
                      <w:rFonts w:hint="eastAsia"/>
                      <w:color w:val="auto"/>
                      <w:sz w:val="21"/>
                      <w:szCs w:val="21"/>
                      <w:highlight w:val="none"/>
                    </w:rPr>
                    <w:t>光大银行宜兴支行</w:t>
                  </w:r>
                </w:p>
              </w:tc>
              <w:tc>
                <w:tcPr>
                  <w:tcW w:w="767" w:type="dxa"/>
                  <w:vMerge w:val="continue"/>
                  <w:noWrap w:val="0"/>
                  <w:vAlign w:val="center"/>
                </w:tcPr>
                <w:p w14:paraId="42828153">
                  <w:pPr>
                    <w:jc w:val="center"/>
                    <w:rPr>
                      <w:rFonts w:hAnsi="宋体"/>
                      <w:bCs/>
                      <w:color w:val="auto"/>
                      <w:sz w:val="21"/>
                      <w:szCs w:val="21"/>
                      <w:highlight w:val="none"/>
                      <w:lang w:val="zh-CN"/>
                    </w:rPr>
                  </w:pPr>
                </w:p>
              </w:tc>
              <w:tc>
                <w:tcPr>
                  <w:tcW w:w="2221" w:type="dxa"/>
                  <w:vMerge w:val="continue"/>
                  <w:noWrap w:val="0"/>
                  <w:vAlign w:val="center"/>
                </w:tcPr>
                <w:p w14:paraId="657F5EDA">
                  <w:pPr>
                    <w:jc w:val="center"/>
                    <w:rPr>
                      <w:color w:val="auto"/>
                      <w:sz w:val="21"/>
                      <w:szCs w:val="21"/>
                      <w:highlight w:val="none"/>
                    </w:rPr>
                  </w:pPr>
                </w:p>
              </w:tc>
            </w:tr>
            <w:tr w14:paraId="18BE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44" w:type="dxa"/>
                  <w:noWrap w:val="0"/>
                  <w:vAlign w:val="center"/>
                </w:tcPr>
                <w:p w14:paraId="29EA26D9">
                  <w:pPr>
                    <w:jc w:val="center"/>
                    <w:rPr>
                      <w:color w:val="auto"/>
                      <w:sz w:val="21"/>
                      <w:szCs w:val="21"/>
                      <w:highlight w:val="none"/>
                    </w:rPr>
                  </w:pPr>
                  <w:r>
                    <w:rPr>
                      <w:rFonts w:hint="eastAsia" w:hAnsi="宋体"/>
                      <w:bCs/>
                      <w:color w:val="auto"/>
                      <w:sz w:val="21"/>
                      <w:szCs w:val="21"/>
                      <w:highlight w:val="none"/>
                      <w:lang w:val="zh-CN"/>
                    </w:rPr>
                    <w:t>账号</w:t>
                  </w:r>
                </w:p>
              </w:tc>
              <w:tc>
                <w:tcPr>
                  <w:tcW w:w="2806" w:type="dxa"/>
                  <w:noWrap w:val="0"/>
                  <w:vAlign w:val="center"/>
                </w:tcPr>
                <w:p w14:paraId="1BCAA22F">
                  <w:pPr>
                    <w:jc w:val="center"/>
                    <w:rPr>
                      <w:rFonts w:hint="default" w:ascii="宋体" w:hAnsi="宋体" w:eastAsia="宋体"/>
                      <w:bCs/>
                      <w:color w:val="auto"/>
                      <w:sz w:val="21"/>
                      <w:szCs w:val="21"/>
                      <w:highlight w:val="none"/>
                      <w:lang w:val="en-US" w:eastAsia="zh-CN"/>
                    </w:rPr>
                  </w:pPr>
                  <w:r>
                    <w:rPr>
                      <w:rFonts w:hint="default" w:ascii="宋体" w:hAnsi="宋体" w:eastAsia="宋体"/>
                      <w:bCs/>
                      <w:color w:val="auto"/>
                      <w:sz w:val="21"/>
                      <w:szCs w:val="21"/>
                      <w:highlight w:val="none"/>
                      <w:lang w:val="en-US" w:eastAsia="zh-CN"/>
                    </w:rPr>
                    <w:t>51610188000314725</w:t>
                  </w:r>
                </w:p>
              </w:tc>
              <w:tc>
                <w:tcPr>
                  <w:tcW w:w="767" w:type="dxa"/>
                  <w:vMerge w:val="continue"/>
                  <w:noWrap w:val="0"/>
                  <w:vAlign w:val="center"/>
                </w:tcPr>
                <w:p w14:paraId="08A368EA">
                  <w:pPr>
                    <w:jc w:val="center"/>
                    <w:rPr>
                      <w:rFonts w:hAnsi="宋体"/>
                      <w:bCs/>
                      <w:color w:val="auto"/>
                      <w:sz w:val="21"/>
                      <w:szCs w:val="21"/>
                      <w:highlight w:val="none"/>
                      <w:lang w:val="zh-CN"/>
                    </w:rPr>
                  </w:pPr>
                </w:p>
              </w:tc>
              <w:tc>
                <w:tcPr>
                  <w:tcW w:w="2221" w:type="dxa"/>
                  <w:vMerge w:val="continue"/>
                  <w:noWrap w:val="0"/>
                  <w:vAlign w:val="center"/>
                </w:tcPr>
                <w:p w14:paraId="3F87C0DB">
                  <w:pPr>
                    <w:jc w:val="center"/>
                    <w:rPr>
                      <w:color w:val="auto"/>
                      <w:sz w:val="21"/>
                      <w:szCs w:val="21"/>
                      <w:highlight w:val="none"/>
                    </w:rPr>
                  </w:pPr>
                </w:p>
              </w:tc>
            </w:tr>
          </w:tbl>
          <w:p w14:paraId="75BA8FC3">
            <w:pPr>
              <w:snapToGrid w:val="0"/>
              <w:spacing w:line="240" w:lineRule="auto"/>
              <w:rPr>
                <w:rFonts w:hint="eastAsia" w:ascii="宋体"/>
                <w:color w:val="auto"/>
                <w:kern w:val="0"/>
                <w:sz w:val="24"/>
                <w:highlight w:val="none"/>
                <w:u w:val="none" w:color="000000"/>
                <w:lang w:val="zh-CN"/>
              </w:rPr>
            </w:pPr>
            <w:r>
              <w:rPr>
                <w:rFonts w:hint="eastAsia"/>
                <w:b/>
                <w:bCs/>
                <w:color w:val="auto"/>
                <w:szCs w:val="21"/>
                <w:highlight w:val="none"/>
              </w:rPr>
              <w:t>注：投标人必须在开标前</w:t>
            </w:r>
            <w:r>
              <w:rPr>
                <w:rFonts w:hint="eastAsia"/>
                <w:b/>
                <w:bCs/>
                <w:color w:val="auto"/>
                <w:szCs w:val="21"/>
                <w:highlight w:val="none"/>
                <w:lang w:val="en-US" w:eastAsia="zh-CN"/>
              </w:rPr>
              <w:t>10分钟</w:t>
            </w:r>
            <w:r>
              <w:rPr>
                <w:rFonts w:hint="eastAsia"/>
                <w:b/>
                <w:bCs/>
                <w:color w:val="auto"/>
                <w:szCs w:val="21"/>
                <w:highlight w:val="none"/>
              </w:rPr>
              <w:t>将保证金汇入以上账户，否则作废标处理, 缴纳投标保证金账户为涉密账户，账号随机，请投标单位仔细核对账号后缴纳投标保证金。</w:t>
            </w:r>
          </w:p>
        </w:tc>
      </w:tr>
      <w:tr w14:paraId="39C7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6CC96384">
            <w:pPr>
              <w:snapToGrid w:val="0"/>
              <w:spacing w:line="400" w:lineRule="exact"/>
              <w:rPr>
                <w:color w:val="auto"/>
                <w:highlight w:val="none"/>
              </w:rPr>
            </w:pPr>
          </w:p>
        </w:tc>
        <w:tc>
          <w:tcPr>
            <w:tcW w:w="516" w:type="dxa"/>
            <w:vMerge w:val="continue"/>
            <w:noWrap w:val="0"/>
            <w:vAlign w:val="top"/>
          </w:tcPr>
          <w:p w14:paraId="76F4BFD3">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14:paraId="6CE32FC2">
            <w:pPr>
              <w:pStyle w:val="14"/>
              <w:spacing w:line="276" w:lineRule="auto"/>
              <w:rPr>
                <w:rFonts w:hint="eastAsia"/>
                <w:color w:val="auto"/>
                <w:highlight w:val="none"/>
                <w:lang w:val="zh-CN"/>
              </w:rPr>
            </w:pPr>
            <w:r>
              <w:rPr>
                <w:rFonts w:hint="eastAsia"/>
                <w:color w:val="auto"/>
                <w:highlight w:val="none"/>
                <w:lang w:val="zh-CN"/>
              </w:rPr>
              <w:t>2.3拒绝下述供应商参加本次采购活动：</w:t>
            </w:r>
          </w:p>
          <w:p w14:paraId="4923C101">
            <w:pPr>
              <w:pStyle w:val="14"/>
              <w:spacing w:line="276" w:lineRule="auto"/>
              <w:rPr>
                <w:rFonts w:hint="eastAsia"/>
                <w:color w:val="auto"/>
                <w:highlight w:val="none"/>
                <w:lang w:val="zh-CN"/>
              </w:rPr>
            </w:pPr>
            <w:r>
              <w:rPr>
                <w:rFonts w:hint="eastAsia"/>
                <w:color w:val="auto"/>
                <w:highlight w:val="none"/>
                <w:lang w:val="zh-CN"/>
              </w:rPr>
              <w:t>①供应商单位负责人为同一人或者存在直接控股、管理关系的不同供应商，不得参加同一合同项下的采购活动，否则相关投标将被认定为无效投标；</w:t>
            </w:r>
          </w:p>
          <w:p w14:paraId="058B25C0">
            <w:pPr>
              <w:pStyle w:val="14"/>
              <w:spacing w:line="276" w:lineRule="auto"/>
              <w:rPr>
                <w:rFonts w:hint="eastAsia" w:ascii="宋体"/>
                <w:color w:val="auto"/>
                <w:kern w:val="0"/>
                <w:sz w:val="24"/>
                <w:highlight w:val="none"/>
                <w:u w:val="none" w:color="000000"/>
                <w:lang w:val="zh-CN"/>
              </w:rPr>
            </w:pPr>
            <w:r>
              <w:rPr>
                <w:rFonts w:hint="eastAsia"/>
                <w:color w:val="auto"/>
                <w:highlight w:val="none"/>
                <w:lang w:val="zh-CN"/>
              </w:rPr>
              <w:t>②凡为采购项目提供整体设计、规范编制或者项目管理、监理、检测等服务的供应商，不得再参加本项目的采购活动，否则其投标将被认定为无效投标。</w:t>
            </w:r>
          </w:p>
        </w:tc>
      </w:tr>
      <w:bookmarkEnd w:id="5"/>
      <w:tr w14:paraId="3955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14EB1D42">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14:paraId="32646FD8">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6CE28ED5">
            <w:pPr>
              <w:rPr>
                <w:rFonts w:ascii="宋体" w:hAnsi="宋体"/>
                <w:bCs/>
                <w:color w:val="auto"/>
                <w:sz w:val="24"/>
                <w:szCs w:val="24"/>
                <w:highlight w:val="none"/>
              </w:rPr>
            </w:pPr>
            <w:r>
              <w:rPr>
                <w:rFonts w:hint="eastAsia" w:ascii="宋体" w:hAnsi="宋体"/>
                <w:bCs/>
                <w:color w:val="auto"/>
                <w:sz w:val="24"/>
                <w:szCs w:val="24"/>
                <w:highlight w:val="none"/>
              </w:rPr>
              <w:t>投标文件副本份数：4份（需装订后密封）</w:t>
            </w:r>
          </w:p>
          <w:p w14:paraId="4A454F71">
            <w:pPr>
              <w:snapToGrid w:val="0"/>
              <w:spacing w:line="400" w:lineRule="exact"/>
              <w:rPr>
                <w:color w:val="auto"/>
                <w:highlight w:val="none"/>
              </w:rPr>
            </w:pPr>
            <w:r>
              <w:rPr>
                <w:rFonts w:hint="eastAsia" w:ascii="宋体" w:hAnsi="宋体"/>
                <w:bCs/>
                <w:color w:val="auto"/>
                <w:sz w:val="24"/>
                <w:szCs w:val="24"/>
                <w:highlight w:val="none"/>
              </w:rPr>
              <w:t>资格审查原件：</w:t>
            </w:r>
            <w:r>
              <w:rPr>
                <w:rFonts w:ascii="宋体" w:hAnsi="宋体"/>
                <w:bCs/>
                <w:color w:val="auto"/>
                <w:sz w:val="24"/>
                <w:szCs w:val="24"/>
                <w:highlight w:val="none"/>
              </w:rPr>
              <w:t>1</w:t>
            </w:r>
            <w:r>
              <w:rPr>
                <w:rFonts w:hint="eastAsia" w:ascii="宋体" w:hAnsi="宋体"/>
                <w:bCs/>
                <w:color w:val="auto"/>
                <w:sz w:val="24"/>
                <w:szCs w:val="24"/>
                <w:highlight w:val="none"/>
              </w:rPr>
              <w:t>份（不需密封）</w:t>
            </w:r>
          </w:p>
        </w:tc>
      </w:tr>
      <w:tr w14:paraId="1F68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581C455C">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14:paraId="37EEA1CB">
            <w:pPr>
              <w:snapToGrid w:val="0"/>
              <w:spacing w:line="400" w:lineRule="exac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23</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上午09:00</w:t>
            </w:r>
          </w:p>
          <w:p w14:paraId="43108EC0">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p>
          <w:p w14:paraId="6849001A">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投标地点及开标地点：宜兴市</w:t>
            </w:r>
            <w:r>
              <w:rPr>
                <w:rFonts w:hint="eastAsia" w:ascii="宋体" w:hAnsi="宋体"/>
                <w:bCs/>
                <w:color w:val="auto"/>
                <w:sz w:val="24"/>
                <w:szCs w:val="24"/>
                <w:highlight w:val="none"/>
                <w:lang w:val="en-US" w:eastAsia="zh-CN"/>
              </w:rPr>
              <w:t>公用</w:t>
            </w:r>
            <w:r>
              <w:rPr>
                <w:rFonts w:hint="eastAsia" w:ascii="宋体" w:hAnsi="宋体"/>
                <w:bCs/>
                <w:color w:val="auto"/>
                <w:sz w:val="24"/>
                <w:szCs w:val="24"/>
                <w:highlight w:val="none"/>
                <w:lang w:val="zh-CN"/>
              </w:rPr>
              <w:t>环保集团有限公司二楼开标室</w:t>
            </w:r>
          </w:p>
        </w:tc>
      </w:tr>
      <w:tr w14:paraId="2C6E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442D53ED">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14:paraId="5AB5EEC9">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5C33A6D0">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5768" w:type="dxa"/>
            <w:noWrap w:val="0"/>
            <w:vAlign w:val="center"/>
          </w:tcPr>
          <w:p w14:paraId="0A461FAE">
            <w:pPr>
              <w:snapToGrid w:val="0"/>
              <w:spacing w:line="400" w:lineRule="exac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江苏宜公投蓝藻资源开发有限公司</w:t>
            </w:r>
          </w:p>
          <w:p w14:paraId="154C3AB0">
            <w:pPr>
              <w:jc w:val="left"/>
              <w:rPr>
                <w:rFonts w:hint="eastAsia" w:ascii="宋体" w:hAnsi="宋体"/>
                <w:color w:val="auto"/>
                <w:sz w:val="24"/>
                <w:szCs w:val="28"/>
                <w:highlight w:val="none"/>
                <w:lang w:val="en-US" w:eastAsia="zh-CN"/>
              </w:rPr>
            </w:pPr>
            <w:r>
              <w:rPr>
                <w:rFonts w:hint="eastAsia" w:ascii="宋体" w:hAnsi="宋体"/>
                <w:bCs/>
                <w:color w:val="auto"/>
                <w:sz w:val="24"/>
                <w:szCs w:val="24"/>
                <w:highlight w:val="none"/>
              </w:rPr>
              <w:t>联系人：</w:t>
            </w:r>
            <w:r>
              <w:rPr>
                <w:rFonts w:hint="eastAsia" w:ascii="宋体" w:hAnsi="宋体"/>
                <w:color w:val="auto"/>
                <w:sz w:val="24"/>
                <w:szCs w:val="28"/>
                <w:highlight w:val="none"/>
                <w:lang w:val="en-US" w:eastAsia="zh-CN"/>
              </w:rPr>
              <w:t>蒋先生</w:t>
            </w:r>
          </w:p>
          <w:p w14:paraId="3DAF7B87">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color w:val="auto"/>
                <w:sz w:val="24"/>
                <w:szCs w:val="28"/>
                <w:highlight w:val="none"/>
                <w:lang w:val="en-US" w:eastAsia="zh-CN"/>
              </w:rPr>
              <w:t>0510-80702121</w:t>
            </w:r>
          </w:p>
          <w:p w14:paraId="555F1D6E">
            <w:pPr>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7E07B9BE">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447A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0C2CAD18">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2C190897">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29FA47C7">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14:paraId="4967AFED">
            <w:pPr>
              <w:jc w:val="lef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刘先生</w:t>
            </w:r>
          </w:p>
          <w:p w14:paraId="60158DCD">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联系方式：</w:t>
            </w:r>
            <w:r>
              <w:rPr>
                <w:rFonts w:hint="eastAsia" w:ascii="宋体" w:hAnsi="宋体"/>
                <w:bCs/>
                <w:color w:val="auto"/>
                <w:sz w:val="24"/>
                <w:szCs w:val="24"/>
                <w:highlight w:val="none"/>
                <w:lang w:val="en-US" w:eastAsia="zh-CN"/>
              </w:rPr>
              <w:t xml:space="preserve">18861558989 </w:t>
            </w:r>
          </w:p>
          <w:p w14:paraId="74CAF6FB">
            <w:pPr>
              <w:jc w:val="left"/>
              <w:rPr>
                <w:rFonts w:ascii="宋体" w:hAnsi="宋体"/>
                <w:bCs/>
                <w:color w:val="auto"/>
                <w:sz w:val="24"/>
                <w:szCs w:val="24"/>
                <w:highlight w:val="none"/>
              </w:rPr>
            </w:pPr>
            <w:r>
              <w:rPr>
                <w:rFonts w:hint="eastAsia" w:ascii="宋体" w:hAnsi="宋体"/>
                <w:bCs/>
                <w:color w:val="auto"/>
                <w:sz w:val="24"/>
                <w:szCs w:val="24"/>
                <w:highlight w:val="none"/>
              </w:rPr>
              <w:t>联系地址：宜兴市杏园路108号科创商务中心5号楼</w:t>
            </w:r>
          </w:p>
          <w:p w14:paraId="3610C417">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49F3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1A568C66">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363A0A07">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0237B0E7">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14:paraId="3EE44F30">
            <w:pPr>
              <w:spacing w:line="269" w:lineRule="auto"/>
              <w:jc w:val="left"/>
              <w:rPr>
                <w:rFonts w:ascii="宋体" w:hAnsi="宋体"/>
                <w:bCs/>
                <w:color w:val="auto"/>
                <w:sz w:val="24"/>
                <w:szCs w:val="24"/>
                <w:highlight w:val="none"/>
              </w:rPr>
            </w:pPr>
            <w:r>
              <w:rPr>
                <w:rFonts w:hint="eastAsia" w:ascii="宋体" w:hAnsi="宋体"/>
                <w:bCs/>
                <w:color w:val="auto"/>
                <w:sz w:val="24"/>
                <w:szCs w:val="24"/>
                <w:highlight w:val="none"/>
              </w:rPr>
              <w:t>采购监督管理及投诉处理主体：</w:t>
            </w:r>
          </w:p>
          <w:p w14:paraId="50DAD952">
            <w:pPr>
              <w:jc w:val="left"/>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宜兴市公用环保集团有限公司</w:t>
            </w:r>
          </w:p>
          <w:p w14:paraId="14DBA79A">
            <w:pPr>
              <w:jc w:val="left"/>
              <w:rPr>
                <w:rFonts w:hint="eastAsia" w:ascii="宋体" w:hAnsi="宋体"/>
                <w:color w:val="auto"/>
                <w:sz w:val="24"/>
                <w:szCs w:val="28"/>
                <w:highlight w:val="none"/>
              </w:rPr>
            </w:pPr>
            <w:r>
              <w:rPr>
                <w:rFonts w:hint="eastAsia" w:ascii="宋体" w:hAnsi="宋体"/>
                <w:color w:val="auto"/>
                <w:sz w:val="24"/>
                <w:szCs w:val="28"/>
                <w:highlight w:val="none"/>
              </w:rPr>
              <w:t>联系地址：中国宜兴环保科技工业园科技孵化园</w:t>
            </w:r>
          </w:p>
          <w:p w14:paraId="11C4DEBE">
            <w:pPr>
              <w:rPr>
                <w:rFonts w:hint="eastAsia" w:ascii="宋体" w:hAnsi="宋体"/>
                <w:bCs/>
                <w:color w:val="auto"/>
                <w:sz w:val="24"/>
                <w:szCs w:val="24"/>
                <w:highlight w:val="none"/>
              </w:rPr>
            </w:pPr>
            <w:r>
              <w:rPr>
                <w:rFonts w:hint="eastAsia" w:ascii="宋体" w:hAnsi="宋体"/>
                <w:color w:val="auto"/>
                <w:sz w:val="24"/>
                <w:szCs w:val="28"/>
                <w:highlight w:val="none"/>
              </w:rPr>
              <w:t>联系电话：</w:t>
            </w:r>
            <w:r>
              <w:rPr>
                <w:rFonts w:ascii="宋体" w:hAnsi="宋体"/>
                <w:color w:val="auto"/>
                <w:sz w:val="24"/>
                <w:szCs w:val="28"/>
                <w:highlight w:val="none"/>
              </w:rPr>
              <w:t>0510-8070210</w:t>
            </w:r>
            <w:r>
              <w:rPr>
                <w:rFonts w:hint="eastAsia" w:ascii="宋体" w:hAnsi="宋体"/>
                <w:color w:val="auto"/>
                <w:sz w:val="24"/>
                <w:szCs w:val="28"/>
                <w:highlight w:val="none"/>
              </w:rPr>
              <w:t>9</w:t>
            </w:r>
          </w:p>
        </w:tc>
      </w:tr>
      <w:bookmarkEnd w:id="7"/>
    </w:tbl>
    <w:p w14:paraId="5CFAA7C1">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14:paraId="7AA2F1FA">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259E6225">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6BC357F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14:paraId="5422A00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14:paraId="4E2BD35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5AECA5A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w:t>
      </w:r>
    </w:p>
    <w:p w14:paraId="7B6AB28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5DDF2F3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0FBDDD7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0FC4720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投标人应自行承担所有与准备和参加报价有关的一切费用（含报名费、标书制作费、评标费等费用）。</w:t>
      </w:r>
    </w:p>
    <w:p w14:paraId="52EC3A48">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2.3 本次采购，招标文件费300元/套，售后不退。</w:t>
      </w:r>
    </w:p>
    <w:p w14:paraId="4013CE1A">
      <w:pPr>
        <w:spacing w:line="360" w:lineRule="auto"/>
        <w:ind w:firstLine="482" w:firstLineChars="200"/>
        <w:rPr>
          <w:rFonts w:hint="eastAsia"/>
          <w:color w:val="auto"/>
          <w:highlight w:val="none"/>
        </w:rPr>
      </w:pPr>
      <w:r>
        <w:rPr>
          <w:rFonts w:hint="eastAsia" w:ascii="宋体" w:hAnsi="宋体"/>
          <w:b/>
          <w:color w:val="auto"/>
          <w:sz w:val="24"/>
          <w:szCs w:val="24"/>
          <w:highlight w:val="none"/>
        </w:rPr>
        <w:t>2.4评审费收费标准:</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投标人</w:t>
      </w:r>
      <w:r>
        <w:rPr>
          <w:rFonts w:ascii="宋体" w:hAnsi="宋体"/>
          <w:b/>
          <w:color w:val="auto"/>
          <w:sz w:val="24"/>
          <w:szCs w:val="24"/>
          <w:highlight w:val="none"/>
        </w:rPr>
        <w:t>把此费用考虑在内）。</w:t>
      </w:r>
    </w:p>
    <w:p w14:paraId="1DA3621C">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4196BC9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011A2242">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06C6139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08356B7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4.1投标人可按招标公告要求获取招标文件及有关资料。投标人须按招标文件要求提交全部资料并对招标文件各项内容作出实质性响应，否则投标无效。</w:t>
      </w:r>
    </w:p>
    <w:p w14:paraId="3C48648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招标文件包括本文件目录所列全部内容及其附件，如有缺漏，请立即与采购人或采购代理机构联系解决。</w:t>
      </w:r>
    </w:p>
    <w:p w14:paraId="6438DB8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323AE89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7767125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109"/>
      <w:bookmarkStart w:id="10" w:name="OLE_LINK289"/>
      <w:r>
        <w:rPr>
          <w:rFonts w:hint="eastAsia" w:ascii="宋体" w:hAnsi="宋体"/>
          <w:bCs/>
          <w:color w:val="auto"/>
          <w:sz w:val="24"/>
          <w:szCs w:val="24"/>
          <w:highlight w:val="none"/>
        </w:rPr>
        <w:t>本文件“第三章 项目技术要求和有关说明”和“第四章 评标方法和标准”由</w:t>
      </w:r>
      <w:bookmarkStart w:id="11" w:name="OLE_LINK13"/>
      <w:r>
        <w:rPr>
          <w:rFonts w:hint="eastAsia" w:ascii="宋体" w:hAnsi="宋体"/>
          <w:bCs/>
          <w:color w:val="auto"/>
          <w:sz w:val="24"/>
          <w:szCs w:val="24"/>
          <w:highlight w:val="none"/>
        </w:rPr>
        <w:t>采购人负责解释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rPr>
        <w:t>采购人和</w:t>
      </w:r>
      <w:bookmarkEnd w:id="12"/>
      <w:r>
        <w:rPr>
          <w:rFonts w:hint="eastAsia" w:ascii="宋体" w:hAnsi="宋体"/>
          <w:bCs/>
          <w:color w:val="auto"/>
          <w:sz w:val="24"/>
          <w:szCs w:val="24"/>
          <w:highlight w:val="none"/>
        </w:rPr>
        <w:t>采购代理机构负责解释</w:t>
      </w:r>
      <w:bookmarkEnd w:id="8"/>
      <w:r>
        <w:rPr>
          <w:rFonts w:hint="eastAsia" w:ascii="宋体" w:hAnsi="宋体"/>
          <w:bCs/>
          <w:color w:val="auto"/>
          <w:sz w:val="24"/>
          <w:szCs w:val="24"/>
          <w:highlight w:val="none"/>
        </w:rPr>
        <w:t>。</w:t>
      </w:r>
      <w:bookmarkEnd w:id="9"/>
      <w:bookmarkEnd w:id="10"/>
    </w:p>
    <w:p w14:paraId="1C3DC4F5">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0B3D0C4E">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 xml:space="preserve">6.1 </w:t>
      </w:r>
      <w:bookmarkStart w:id="13" w:name="OLE_LINK14"/>
      <w:bookmarkStart w:id="14" w:name="OLE_LINK161"/>
      <w:r>
        <w:rPr>
          <w:rFonts w:hint="eastAsia" w:ascii="宋体" w:hAnsi="宋体" w:cs="宋体"/>
          <w:color w:val="auto"/>
          <w:sz w:val="24"/>
          <w:szCs w:val="24"/>
          <w:highlight w:val="none"/>
        </w:rPr>
        <w:t>采购人或者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3</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3</w:t>
      </w:r>
      <w:r>
        <w:rPr>
          <w:rFonts w:hint="eastAsia" w:ascii="宋体"/>
          <w:color w:val="auto"/>
          <w:sz w:val="24"/>
          <w:szCs w:val="21"/>
          <w:highlight w:val="none"/>
        </w:rPr>
        <w:t>日的，</w:t>
      </w:r>
      <w:r>
        <w:rPr>
          <w:rFonts w:hint="eastAsia" w:ascii="宋体" w:hAnsi="宋体" w:cs="宋体"/>
          <w:color w:val="auto"/>
          <w:sz w:val="24"/>
          <w:szCs w:val="24"/>
          <w:highlight w:val="none"/>
        </w:rPr>
        <w:t>采购人或者采购代理机构有权决定是否顺延投标截止时间和开标时间，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14:paraId="731B7AA8">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rPr>
        <w:t xml:space="preserve">6.2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75D0E4F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1DE51DC4">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lang w:val="zh-CN"/>
        </w:rPr>
        <w:t>：</w:t>
      </w:r>
      <w:r>
        <w:rPr>
          <w:rFonts w:hint="eastAsia" w:ascii="宋体" w:hAnsi="宋体"/>
          <w:b/>
          <w:color w:val="auto"/>
          <w:sz w:val="24"/>
          <w:szCs w:val="24"/>
          <w:highlight w:val="none"/>
        </w:rPr>
        <w:t>对应第六章投标文件（格式）</w:t>
      </w:r>
    </w:p>
    <w:p w14:paraId="42CAC62A">
      <w:pPr>
        <w:tabs>
          <w:tab w:val="left" w:pos="0"/>
          <w:tab w:val="left" w:pos="255"/>
        </w:tabs>
        <w:spacing w:line="360" w:lineRule="auto"/>
        <w:ind w:firstLine="480" w:firstLineChars="200"/>
        <w:rPr>
          <w:rFonts w:hint="eastAsia" w:ascii="宋体" w:hAnsi="宋体"/>
          <w:color w:val="auto"/>
          <w:sz w:val="24"/>
          <w:szCs w:val="21"/>
          <w:highlight w:val="none"/>
          <w:lang w:val="zh-CN"/>
        </w:rPr>
      </w:pPr>
      <w:bookmarkStart w:id="18" w:name="OLE_LINK92"/>
      <w:bookmarkStart w:id="19" w:name="OLE_LINK51"/>
      <w:r>
        <w:rPr>
          <w:rFonts w:hint="eastAsia" w:ascii="宋体" w:hAnsi="宋体"/>
          <w:color w:val="auto"/>
          <w:sz w:val="24"/>
          <w:szCs w:val="21"/>
          <w:highlight w:val="none"/>
        </w:rPr>
        <w:t>7.1</w:t>
      </w:r>
      <w:r>
        <w:rPr>
          <w:rFonts w:hint="eastAsia" w:ascii="宋体" w:hAnsi="宋体"/>
          <w:color w:val="auto"/>
          <w:sz w:val="24"/>
          <w:szCs w:val="21"/>
          <w:highlight w:val="none"/>
          <w:lang w:val="zh-CN"/>
        </w:rPr>
        <w:t>投标函</w:t>
      </w:r>
    </w:p>
    <w:p w14:paraId="274C5797">
      <w:p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7.</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lang w:val="zh-CN"/>
        </w:rPr>
        <w:t>报价文件：</w:t>
      </w:r>
    </w:p>
    <w:p w14:paraId="202387B5">
      <w:p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14:paraId="6C0902EE">
      <w:pPr>
        <w:tabs>
          <w:tab w:val="left" w:pos="0"/>
          <w:tab w:val="left" w:pos="255"/>
        </w:tabs>
        <w:spacing w:line="360" w:lineRule="auto"/>
        <w:ind w:firstLine="480" w:firstLineChars="200"/>
        <w:rPr>
          <w:rFonts w:hint="eastAsia" w:ascii="宋体" w:hAnsi="宋体"/>
          <w:color w:val="auto"/>
          <w:sz w:val="24"/>
          <w:szCs w:val="24"/>
          <w:highlight w:val="none"/>
        </w:rPr>
      </w:pPr>
      <w:bookmarkStart w:id="20" w:name="OLE_LINK20"/>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14:paraId="0F2CEFB3">
      <w:pPr>
        <w:tabs>
          <w:tab w:val="left" w:pos="0"/>
          <w:tab w:val="left" w:pos="255"/>
        </w:tabs>
        <w:spacing w:line="360" w:lineRule="auto"/>
        <w:ind w:firstLine="480" w:firstLineChars="200"/>
        <w:rPr>
          <w:rFonts w:hint="eastAsia" w:ascii="宋体" w:hAnsi="宋体"/>
          <w:color w:val="auto"/>
          <w:sz w:val="24"/>
          <w:szCs w:val="24"/>
          <w:highlight w:val="none"/>
        </w:rPr>
      </w:pPr>
      <w:bookmarkStart w:id="21" w:name="OLE_LINK8"/>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00A68942">
      <w:pPr>
        <w:tabs>
          <w:tab w:val="left" w:pos="0"/>
          <w:tab w:val="left" w:pos="255"/>
        </w:tabs>
        <w:spacing w:line="360" w:lineRule="auto"/>
        <w:ind w:firstLine="480" w:firstLineChars="200"/>
        <w:rPr>
          <w:rFonts w:hint="eastAsia" w:ascii="宋体" w:hAnsi="宋体"/>
          <w:b/>
          <w:color w:val="auto"/>
          <w:sz w:val="24"/>
          <w:szCs w:val="24"/>
          <w:highlight w:val="none"/>
        </w:rPr>
      </w:pPr>
      <w:bookmarkStart w:id="23" w:name="OLE_LINK112"/>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.2投标人法定代表人授权委托书</w:t>
      </w:r>
      <w:r>
        <w:rPr>
          <w:rFonts w:hint="eastAsia" w:ascii="宋体" w:hAnsi="宋体"/>
          <w:color w:val="auto"/>
          <w:sz w:val="24"/>
          <w:szCs w:val="21"/>
          <w:highlight w:val="none"/>
        </w:rPr>
        <w:t>及被</w:t>
      </w:r>
      <w:r>
        <w:rPr>
          <w:rFonts w:hint="eastAsia" w:ascii="宋体" w:hAnsi="宋体"/>
          <w:color w:val="auto"/>
          <w:sz w:val="24"/>
          <w:szCs w:val="24"/>
          <w:highlight w:val="none"/>
        </w:rPr>
        <w:t>授权代表</w:t>
      </w:r>
      <w:r>
        <w:rPr>
          <w:rFonts w:hint="eastAsia" w:ascii="宋体" w:hAnsi="宋体"/>
          <w:color w:val="auto"/>
          <w:sz w:val="24"/>
          <w:szCs w:val="21"/>
          <w:highlight w:val="none"/>
        </w:rPr>
        <w:t>的身份证复印件</w:t>
      </w:r>
      <w:r>
        <w:rPr>
          <w:rFonts w:hint="eastAsia" w:ascii="宋体" w:hAnsi="宋体"/>
          <w:color w:val="auto"/>
          <w:sz w:val="24"/>
          <w:szCs w:val="24"/>
          <w:highlight w:val="none"/>
        </w:rPr>
        <w:t>（格式见附件，法定代表人亲自参加投标的除外）；</w:t>
      </w:r>
      <w:bookmarkEnd w:id="23"/>
      <w:r>
        <w:rPr>
          <w:rFonts w:hint="eastAsia" w:ascii="宋体" w:hAnsi="宋体" w:cs="宋体"/>
          <w:b/>
          <w:color w:val="auto"/>
          <w:sz w:val="24"/>
          <w:szCs w:val="24"/>
          <w:highlight w:val="none"/>
        </w:rPr>
        <w:t>（开标时提供身份证原件）</w:t>
      </w:r>
    </w:p>
    <w:p w14:paraId="2B2A6AAA">
      <w:pPr>
        <w:pStyle w:val="14"/>
        <w:spacing w:line="360" w:lineRule="auto"/>
        <w:ind w:firstLine="480" w:firstLineChars="200"/>
        <w:rPr>
          <w:rFonts w:hint="eastAsia" w:hAnsi="宋体" w:cs="宋体"/>
          <w:b/>
          <w:color w:val="auto"/>
          <w:szCs w:val="24"/>
          <w:highlight w:val="none"/>
        </w:rPr>
      </w:pPr>
      <w:bookmarkStart w:id="24" w:name="OLE_LINK113"/>
      <w:r>
        <w:rPr>
          <w:rFonts w:hint="eastAsia" w:hAnsi="宋体"/>
          <w:bCs/>
          <w:color w:val="auto"/>
          <w:szCs w:val="24"/>
          <w:highlight w:val="none"/>
        </w:rPr>
        <w:t>7.</w:t>
      </w:r>
      <w:r>
        <w:rPr>
          <w:rFonts w:hint="eastAsia" w:hAnsi="宋体"/>
          <w:bCs/>
          <w:color w:val="auto"/>
          <w:szCs w:val="24"/>
          <w:highlight w:val="none"/>
          <w:lang w:val="en-US" w:eastAsia="zh-CN"/>
        </w:rPr>
        <w:t>3</w:t>
      </w:r>
      <w:r>
        <w:rPr>
          <w:rFonts w:hint="eastAsia" w:hAnsi="宋体"/>
          <w:bCs/>
          <w:color w:val="auto"/>
          <w:szCs w:val="24"/>
          <w:highlight w:val="none"/>
        </w:rPr>
        <w:t>.3</w:t>
      </w:r>
      <w:r>
        <w:rPr>
          <w:rFonts w:hint="eastAsia" w:hAnsi="宋体"/>
          <w:bCs/>
          <w:color w:val="auto"/>
          <w:szCs w:val="24"/>
          <w:highlight w:val="none"/>
          <w:lang w:val="zh-CN"/>
        </w:rPr>
        <w:t>具有独立承担民事责任的能力：投标人为法人或其他组织的提供营业执照或法人（登记）证书复印件，投标人为自然人的提供自然人身份证复印件；</w:t>
      </w:r>
      <w:r>
        <w:rPr>
          <w:rFonts w:hint="eastAsia" w:hAnsi="宋体"/>
          <w:color w:val="auto"/>
          <w:szCs w:val="24"/>
          <w:highlight w:val="none"/>
        </w:rPr>
        <w:t xml:space="preserve"> </w:t>
      </w:r>
      <w:r>
        <w:rPr>
          <w:rFonts w:hint="eastAsia" w:hAnsi="宋体" w:cs="宋体"/>
          <w:b/>
          <w:color w:val="auto"/>
          <w:szCs w:val="24"/>
          <w:highlight w:val="none"/>
        </w:rPr>
        <w:t>（开标时提供原件或公证件）</w:t>
      </w:r>
    </w:p>
    <w:p w14:paraId="59A4F463">
      <w:pPr>
        <w:pStyle w:val="14"/>
        <w:spacing w:line="360" w:lineRule="auto"/>
        <w:ind w:firstLine="480" w:firstLineChars="200"/>
        <w:rPr>
          <w:rFonts w:hint="eastAsia"/>
          <w:color w:val="auto"/>
          <w:highlight w:val="none"/>
        </w:rPr>
      </w:pPr>
      <w:r>
        <w:rPr>
          <w:rFonts w:hint="eastAsia" w:hAnsi="宋体"/>
          <w:color w:val="auto"/>
          <w:highlight w:val="none"/>
        </w:rPr>
        <w:t>7.</w:t>
      </w:r>
      <w:r>
        <w:rPr>
          <w:rFonts w:hint="eastAsia" w:hAnsi="宋体"/>
          <w:color w:val="auto"/>
          <w:highlight w:val="none"/>
          <w:lang w:val="en-US" w:eastAsia="zh-CN"/>
        </w:rPr>
        <w:t>3</w:t>
      </w:r>
      <w:r>
        <w:rPr>
          <w:rFonts w:hint="eastAsia" w:hAnsi="宋体"/>
          <w:color w:val="auto"/>
          <w:highlight w:val="none"/>
        </w:rPr>
        <w:t>.4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bookmarkEnd w:id="24"/>
    <w:p w14:paraId="40DDAE9E">
      <w:pPr>
        <w:tabs>
          <w:tab w:val="left" w:pos="420"/>
          <w:tab w:val="left" w:pos="945"/>
          <w:tab w:val="left" w:pos="115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.5投标人依法缴纳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062291AD">
      <w:pPr>
        <w:tabs>
          <w:tab w:val="left" w:pos="420"/>
          <w:tab w:val="left" w:pos="945"/>
          <w:tab w:val="left" w:pos="11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.6投标人依法缴纳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46B24367">
      <w:p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.7投标人为本项目被授权代表在近三个月内（不含投标当月）任意一个月缴纳的社保证明复印件（提供相关主管部门证明或银行代扣证明，法定代表人亲自参加报价的除外）；</w:t>
      </w:r>
    </w:p>
    <w:p w14:paraId="280E3D22">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1"/>
          <w:highlight w:val="none"/>
        </w:rPr>
        <w:t>7.</w:t>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.8投标保证金交纳证明复印件（银行转账记录）；</w:t>
      </w:r>
    </w:p>
    <w:p w14:paraId="073666BA">
      <w:pPr>
        <w:tabs>
          <w:tab w:val="left" w:pos="0"/>
          <w:tab w:val="left" w:pos="255"/>
        </w:tabs>
        <w:spacing w:line="360" w:lineRule="auto"/>
        <w:ind w:firstLine="480" w:firstLineChars="200"/>
        <w:rPr>
          <w:rFonts w:hint="eastAsia" w:ascii="宋体" w:hAnsi="宋体" w:cs="宋体"/>
          <w:b/>
          <w:color w:val="auto"/>
          <w:sz w:val="24"/>
          <w:szCs w:val="24"/>
          <w:highlight w:val="none"/>
        </w:rPr>
      </w:pPr>
      <w:r>
        <w:rPr>
          <w:rFonts w:hint="eastAsia" w:ascii="宋体" w:hAnsi="宋体"/>
          <w:bCs/>
          <w:color w:val="auto"/>
          <w:sz w:val="24"/>
          <w:szCs w:val="24"/>
          <w:highlight w:val="none"/>
        </w:rPr>
        <w:t>7.</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.9</w:t>
      </w:r>
      <w:r>
        <w:rPr>
          <w:rFonts w:hint="eastAsia" w:ascii="宋体" w:hAnsi="宋体" w:cs="宋体"/>
          <w:color w:val="auto"/>
          <w:sz w:val="24"/>
          <w:szCs w:val="24"/>
          <w:highlight w:val="none"/>
        </w:rPr>
        <w:t>良好的信用记录：未被“信用中国”网站列入失信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执行人、重大税收违法案件当事人名单、政府采购严重违法失信名单，或未在“中国政府采购网”网站被列入政府采购严重违法失信行为记录名单；</w:t>
      </w:r>
      <w:r>
        <w:rPr>
          <w:rFonts w:hint="eastAsia" w:ascii="宋体" w:hAnsi="宋体" w:cs="宋体"/>
          <w:b/>
          <w:color w:val="auto"/>
          <w:sz w:val="24"/>
          <w:szCs w:val="24"/>
          <w:highlight w:val="none"/>
        </w:rPr>
        <w:t>（</w:t>
      </w:r>
      <w:r>
        <w:rPr>
          <w:rFonts w:ascii="宋体" w:hAnsi="宋体" w:cs="宋体"/>
          <w:b/>
          <w:color w:val="auto"/>
          <w:sz w:val="24"/>
          <w:szCs w:val="24"/>
          <w:highlight w:val="none"/>
        </w:rPr>
        <w:t>若投标人企业信息已录入以上网站的，</w:t>
      </w:r>
      <w:r>
        <w:rPr>
          <w:rFonts w:hint="eastAsia" w:ascii="宋体" w:hAnsi="宋体" w:cs="宋体"/>
          <w:b/>
          <w:color w:val="auto"/>
          <w:sz w:val="24"/>
          <w:szCs w:val="24"/>
          <w:highlight w:val="none"/>
        </w:rPr>
        <w:t>无需提供相关证明材料</w:t>
      </w:r>
      <w:r>
        <w:rPr>
          <w:rFonts w:ascii="宋体" w:hAnsi="宋体" w:cs="宋体"/>
          <w:b/>
          <w:color w:val="auto"/>
          <w:sz w:val="24"/>
          <w:szCs w:val="24"/>
          <w:highlight w:val="none"/>
        </w:rPr>
        <w:t>；</w:t>
      </w:r>
      <w:r>
        <w:rPr>
          <w:rFonts w:hint="eastAsia" w:ascii="宋体" w:hAnsi="宋体" w:cs="宋体"/>
          <w:b/>
          <w:color w:val="auto"/>
          <w:sz w:val="24"/>
          <w:szCs w:val="24"/>
          <w:highlight w:val="none"/>
        </w:rPr>
        <w:t>若投标人企业信息</w:t>
      </w:r>
      <w:r>
        <w:rPr>
          <w:rFonts w:ascii="宋体" w:hAnsi="宋体" w:cs="宋体"/>
          <w:b/>
          <w:color w:val="auto"/>
          <w:sz w:val="24"/>
          <w:szCs w:val="24"/>
          <w:highlight w:val="none"/>
        </w:rPr>
        <w:t>未</w:t>
      </w:r>
      <w:r>
        <w:rPr>
          <w:rFonts w:hint="eastAsia" w:ascii="宋体" w:hAnsi="宋体" w:cs="宋体"/>
          <w:b/>
          <w:color w:val="auto"/>
          <w:sz w:val="24"/>
          <w:szCs w:val="24"/>
          <w:highlight w:val="none"/>
        </w:rPr>
        <w:t>录入以上网站的，须在投标文件中提供</w:t>
      </w:r>
      <w:r>
        <w:rPr>
          <w:rFonts w:ascii="宋体" w:hAnsi="宋体" w:cs="宋体"/>
          <w:b/>
          <w:color w:val="auto"/>
          <w:sz w:val="24"/>
          <w:szCs w:val="24"/>
          <w:highlight w:val="none"/>
        </w:rPr>
        <w:t>无不良信用记录</w:t>
      </w:r>
      <w:r>
        <w:rPr>
          <w:rFonts w:hint="eastAsia" w:ascii="宋体" w:hAnsi="宋体" w:cs="宋体"/>
          <w:b/>
          <w:color w:val="auto"/>
          <w:sz w:val="24"/>
          <w:szCs w:val="24"/>
          <w:highlight w:val="none"/>
        </w:rPr>
        <w:t>承诺</w:t>
      </w:r>
      <w:r>
        <w:rPr>
          <w:rFonts w:ascii="宋体" w:hAnsi="宋体" w:cs="宋体"/>
          <w:b/>
          <w:color w:val="auto"/>
          <w:sz w:val="24"/>
          <w:szCs w:val="24"/>
          <w:highlight w:val="none"/>
        </w:rPr>
        <w:t>书</w:t>
      </w:r>
      <w:r>
        <w:rPr>
          <w:rFonts w:hint="eastAsia" w:ascii="宋体" w:hAnsi="宋体" w:cs="宋体"/>
          <w:b/>
          <w:color w:val="auto"/>
          <w:sz w:val="24"/>
          <w:szCs w:val="24"/>
          <w:highlight w:val="none"/>
        </w:rPr>
        <w:t>）</w:t>
      </w:r>
    </w:p>
    <w:p w14:paraId="5FEB819C">
      <w:pPr>
        <w:tabs>
          <w:tab w:val="left" w:pos="0"/>
          <w:tab w:val="left" w:pos="255"/>
        </w:tabs>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7.3.10其他要求：/</w:t>
      </w:r>
    </w:p>
    <w:p w14:paraId="423B616D">
      <w:pPr>
        <w:pStyle w:val="8"/>
        <w:spacing w:line="360" w:lineRule="auto"/>
        <w:ind w:left="0" w:leftChars="0" w:firstLine="720" w:firstLineChars="300"/>
        <w:rPr>
          <w:rFonts w:hint="eastAsia"/>
          <w:color w:val="auto"/>
          <w:highlight w:val="none"/>
          <w:lang w:val="zh-CN"/>
        </w:rPr>
      </w:pPr>
      <w:r>
        <w:rPr>
          <w:rFonts w:hint="eastAsia" w:ascii="宋体" w:hAnsi="宋体" w:eastAsia="宋体" w:cs="宋体"/>
          <w:color w:val="auto"/>
          <w:sz w:val="24"/>
          <w:szCs w:val="24"/>
          <w:highlight w:val="none"/>
          <w:lang w:val="en-US" w:eastAsia="zh-CN"/>
        </w:rPr>
        <w:t>注：</w:t>
      </w:r>
      <w:r>
        <w:rPr>
          <w:rFonts w:hint="eastAsia" w:ascii="宋体" w:hAnsi="宋体"/>
          <w:color w:val="auto"/>
          <w:sz w:val="24"/>
          <w:szCs w:val="24"/>
          <w:highlight w:val="none"/>
        </w:rPr>
        <w:t>以上“近十二个月”是指</w:t>
      </w:r>
      <w:r>
        <w:rPr>
          <w:rFonts w:hint="eastAsia" w:ascii="宋体" w:hAnsi="宋体"/>
          <w:bCs/>
          <w:color w:val="auto"/>
          <w:sz w:val="24"/>
          <w:szCs w:val="24"/>
          <w:highlight w:val="none"/>
          <w:lang w:val="zh-CN"/>
        </w:rPr>
        <w:t>提交</w:t>
      </w:r>
      <w:r>
        <w:rPr>
          <w:rFonts w:hint="eastAsia" w:ascii="宋体" w:hAnsi="宋体"/>
          <w:bCs/>
          <w:color w:val="auto"/>
          <w:sz w:val="24"/>
          <w:szCs w:val="24"/>
          <w:highlight w:val="none"/>
        </w:rPr>
        <w:t>招标</w:t>
      </w:r>
      <w:r>
        <w:rPr>
          <w:rFonts w:hint="eastAsia" w:ascii="宋体" w:hAnsi="宋体"/>
          <w:bCs/>
          <w:color w:val="auto"/>
          <w:sz w:val="24"/>
          <w:szCs w:val="24"/>
          <w:highlight w:val="none"/>
          <w:lang w:val="zh-CN"/>
        </w:rPr>
        <w:t>文件截止</w:t>
      </w:r>
      <w:r>
        <w:rPr>
          <w:rFonts w:hint="eastAsia" w:ascii="宋体" w:hAnsi="宋体"/>
          <w:color w:val="auto"/>
          <w:sz w:val="24"/>
          <w:szCs w:val="24"/>
          <w:highlight w:val="none"/>
        </w:rPr>
        <w:t>日之前近十二个月（不含报价当月）。</w:t>
      </w:r>
    </w:p>
    <w:bookmarkEnd w:id="21"/>
    <w:p w14:paraId="7DCA3637">
      <w:pPr>
        <w:tabs>
          <w:tab w:val="left" w:pos="0"/>
          <w:tab w:val="left" w:pos="255"/>
        </w:tabs>
        <w:spacing w:line="360" w:lineRule="auto"/>
        <w:ind w:firstLine="480" w:firstLineChars="200"/>
        <w:rPr>
          <w:rFonts w:hint="eastAsia" w:ascii="宋体" w:hAnsi="宋体"/>
          <w:color w:val="auto"/>
          <w:sz w:val="24"/>
          <w:szCs w:val="24"/>
          <w:highlight w:val="none"/>
        </w:rPr>
      </w:pPr>
      <w:bookmarkStart w:id="26" w:name="OLE_LINK7"/>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技术商务部分评分导读表</w:t>
      </w:r>
      <w:bookmarkEnd w:id="26"/>
    </w:p>
    <w:p w14:paraId="0A36ACF3">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zh-CN"/>
        </w:rPr>
        <w:t>项目人员配置清单</w:t>
      </w:r>
    </w:p>
    <w:p w14:paraId="016B0B37">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7.6</w:t>
      </w:r>
      <w:r>
        <w:rPr>
          <w:rFonts w:hint="eastAsia" w:ascii="宋体" w:hAnsi="宋体"/>
          <w:color w:val="auto"/>
          <w:sz w:val="24"/>
          <w:szCs w:val="24"/>
          <w:highlight w:val="none"/>
        </w:rPr>
        <w:t>招标文件</w:t>
      </w:r>
      <w:r>
        <w:rPr>
          <w:rFonts w:hint="eastAsia" w:ascii="宋体" w:hAnsi="宋体"/>
          <w:color w:val="auto"/>
          <w:sz w:val="24"/>
          <w:szCs w:val="21"/>
          <w:highlight w:val="none"/>
        </w:rPr>
        <w:t>“</w:t>
      </w: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 xml:space="preserve">章 </w:t>
      </w:r>
      <w:r>
        <w:rPr>
          <w:rFonts w:hint="eastAsia" w:ascii="宋体" w:hAnsi="宋体"/>
          <w:color w:val="auto"/>
          <w:sz w:val="24"/>
          <w:szCs w:val="21"/>
          <w:highlight w:val="none"/>
        </w:rPr>
        <w:t>项目技术要求和有关说明”中要求提供的相关文件、证明材料等</w:t>
      </w:r>
      <w:r>
        <w:rPr>
          <w:rFonts w:hint="eastAsia" w:ascii="宋体" w:hAnsi="宋体"/>
          <w:color w:val="auto"/>
          <w:sz w:val="24"/>
          <w:szCs w:val="24"/>
          <w:highlight w:val="none"/>
        </w:rPr>
        <w:t>（如有自行添加）</w:t>
      </w:r>
    </w:p>
    <w:p w14:paraId="2611F4B6">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val="zh-CN"/>
        </w:rPr>
        <w:t>服务内容的详细说明及服务方案</w:t>
      </w:r>
      <w:r>
        <w:rPr>
          <w:rFonts w:hint="eastAsia" w:ascii="宋体" w:hAnsi="宋体"/>
          <w:bCs/>
          <w:color w:val="auto"/>
          <w:sz w:val="24"/>
          <w:szCs w:val="21"/>
          <w:highlight w:val="none"/>
          <w:lang w:val="zh-CN"/>
        </w:rPr>
        <w:t>（</w:t>
      </w:r>
      <w:r>
        <w:rPr>
          <w:rFonts w:hint="eastAsia" w:ascii="宋体" w:hAnsi="宋体"/>
          <w:bCs/>
          <w:color w:val="auto"/>
          <w:sz w:val="24"/>
          <w:szCs w:val="24"/>
          <w:highlight w:val="none"/>
        </w:rPr>
        <w:t>格式自拟</w:t>
      </w:r>
      <w:r>
        <w:rPr>
          <w:rFonts w:hint="eastAsia" w:ascii="宋体" w:hAnsi="宋体"/>
          <w:bCs/>
          <w:color w:val="auto"/>
          <w:sz w:val="24"/>
          <w:szCs w:val="21"/>
          <w:highlight w:val="none"/>
          <w:lang w:val="zh-CN"/>
        </w:rPr>
        <w:t>）</w:t>
      </w:r>
    </w:p>
    <w:p w14:paraId="73F0951F">
      <w:pPr>
        <w:tabs>
          <w:tab w:val="left" w:pos="0"/>
          <w:tab w:val="left" w:pos="255"/>
        </w:tabs>
        <w:spacing w:line="360" w:lineRule="auto"/>
        <w:ind w:firstLine="480" w:firstLineChars="200"/>
        <w:rPr>
          <w:rFonts w:hint="eastAsia" w:ascii="宋体" w:hAnsi="宋体"/>
          <w:color w:val="auto"/>
          <w:sz w:val="24"/>
          <w:szCs w:val="24"/>
          <w:highlight w:val="none"/>
          <w:lang w:val="zh-CN"/>
        </w:rPr>
      </w:pPr>
      <w:bookmarkStart w:id="27" w:name="OLE_LINK116"/>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val="zh-CN"/>
        </w:rPr>
        <w:t>要求采购人提供的配合（如有自拟并自行添加）</w:t>
      </w:r>
    </w:p>
    <w:p w14:paraId="348086C0">
      <w:pPr>
        <w:tabs>
          <w:tab w:val="left" w:pos="0"/>
          <w:tab w:val="left" w:pos="255"/>
        </w:tabs>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7"/>
    </w:p>
    <w:bookmarkEnd w:id="16"/>
    <w:bookmarkEnd w:id="17"/>
    <w:bookmarkEnd w:id="18"/>
    <w:bookmarkEnd w:id="19"/>
    <w:p w14:paraId="451BAE91">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rPr>
        <w:t>7.1-7.</w:t>
      </w:r>
      <w:r>
        <w:rPr>
          <w:rFonts w:hint="eastAsia" w:ascii="宋体" w:hAnsi="宋体"/>
          <w:b/>
          <w:color w:val="auto"/>
          <w:sz w:val="24"/>
          <w:szCs w:val="24"/>
          <w:highlight w:val="none"/>
          <w:lang w:val="en-US" w:eastAsia="zh-CN"/>
        </w:rPr>
        <w:t>6</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8" w:name="OLE_LINK118"/>
      <w:r>
        <w:rPr>
          <w:rFonts w:hint="eastAsia" w:ascii="宋体" w:hAnsi="宋体"/>
          <w:bCs/>
          <w:color w:val="auto"/>
          <w:sz w:val="24"/>
          <w:szCs w:val="24"/>
          <w:highlight w:val="none"/>
        </w:rPr>
        <w:t>7.</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资格证明文件”第</w:t>
      </w:r>
      <w:r>
        <w:rPr>
          <w:rFonts w:hint="eastAsia" w:ascii="宋体" w:hAnsi="宋体" w:cs="宋体"/>
          <w:bCs/>
          <w:color w:val="auto"/>
          <w:sz w:val="24"/>
          <w:szCs w:val="24"/>
          <w:highlight w:val="none"/>
        </w:rPr>
        <w:t>7.</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.5、7.</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7.3.7</w:t>
      </w:r>
      <w:r>
        <w:rPr>
          <w:rFonts w:hint="eastAsia" w:ascii="宋体" w:hAnsi="宋体"/>
          <w:bCs/>
          <w:color w:val="auto"/>
          <w:sz w:val="24"/>
          <w:szCs w:val="24"/>
          <w:highlight w:val="none"/>
          <w:lang w:val="zh-CN"/>
        </w:rPr>
        <w:t>项，依法免税或</w:t>
      </w:r>
      <w:bookmarkStart w:id="29" w:name="OLE_LINK19"/>
      <w:r>
        <w:rPr>
          <w:rFonts w:hint="eastAsia" w:ascii="宋体" w:hAnsi="宋体"/>
          <w:bCs/>
          <w:color w:val="auto"/>
          <w:sz w:val="24"/>
          <w:szCs w:val="24"/>
          <w:highlight w:val="none"/>
          <w:lang w:val="zh-CN"/>
        </w:rPr>
        <w:t>不需要缴纳社会保障资金</w:t>
      </w:r>
      <w:bookmarkEnd w:id="29"/>
      <w:r>
        <w:rPr>
          <w:rFonts w:hint="eastAsia" w:ascii="宋体" w:hAnsi="宋体"/>
          <w:bCs/>
          <w:color w:val="auto"/>
          <w:sz w:val="24"/>
          <w:szCs w:val="24"/>
          <w:highlight w:val="none"/>
          <w:lang w:val="zh-CN"/>
        </w:rPr>
        <w:t>的投标人，须在投标文件中提供相应文件证明其依法免税或不需要缴纳社会保障资金。</w:t>
      </w:r>
      <w:bookmarkEnd w:id="28"/>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投标人法定代表人或授权代表为外籍、港、澳、台地区人士的，其身份证明须提供有效的护照或港澳同胞来往内地通行证、台湾同胞来往大陆通行证，或其它可在中国大陆有效居留的许可证明。</w:t>
      </w:r>
    </w:p>
    <w:p w14:paraId="71DF27F7">
      <w:pPr>
        <w:spacing w:line="360" w:lineRule="auto"/>
        <w:ind w:firstLine="482" w:firstLineChars="200"/>
        <w:rPr>
          <w:rFonts w:hint="eastAsia" w:ascii="宋体" w:hAnsi="宋体"/>
          <w:b/>
          <w:color w:val="auto"/>
          <w:sz w:val="24"/>
          <w:szCs w:val="24"/>
          <w:highlight w:val="none"/>
        </w:rPr>
      </w:pPr>
      <w:bookmarkStart w:id="30" w:name="OLE_LINK219"/>
      <w:r>
        <w:rPr>
          <w:rFonts w:hint="eastAsia" w:ascii="宋体" w:hAnsi="宋体"/>
          <w:b/>
          <w:color w:val="auto"/>
          <w:sz w:val="24"/>
          <w:szCs w:val="24"/>
          <w:highlight w:val="none"/>
        </w:rPr>
        <w:t>8、</w:t>
      </w:r>
      <w:bookmarkStart w:id="31" w:name="_Toc520356155"/>
      <w:bookmarkStart w:id="32" w:name="_Toc19624"/>
      <w:bookmarkStart w:id="33" w:name="_Toc2248"/>
      <w:bookmarkStart w:id="34" w:name="_Toc515647770"/>
      <w:bookmarkStart w:id="35" w:name="_Toc23231"/>
      <w:r>
        <w:rPr>
          <w:rFonts w:hint="eastAsia" w:ascii="宋体" w:hAnsi="宋体"/>
          <w:b/>
          <w:color w:val="auto"/>
          <w:sz w:val="24"/>
          <w:szCs w:val="24"/>
          <w:highlight w:val="none"/>
        </w:rPr>
        <w:t>投标报价</w:t>
      </w:r>
      <w:bookmarkEnd w:id="31"/>
      <w:bookmarkEnd w:id="32"/>
      <w:bookmarkEnd w:id="33"/>
      <w:bookmarkEnd w:id="34"/>
      <w:bookmarkEnd w:id="35"/>
    </w:p>
    <w:bookmarkEnd w:id="30"/>
    <w:p w14:paraId="3D52B929">
      <w:pPr>
        <w:spacing w:line="360" w:lineRule="auto"/>
        <w:ind w:firstLine="480" w:firstLineChars="200"/>
        <w:rPr>
          <w:rFonts w:hint="eastAsia" w:ascii="宋体" w:hAnsi="宋体"/>
          <w:bCs/>
          <w:color w:val="auto"/>
          <w:sz w:val="24"/>
          <w:szCs w:val="24"/>
          <w:highlight w:val="none"/>
          <w:lang w:val="zh-CN"/>
        </w:rPr>
      </w:pPr>
      <w:bookmarkStart w:id="36"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所有投标均以人民币报价</w:t>
      </w:r>
      <w:bookmarkStart w:id="37" w:name="OLE_LINK204"/>
      <w:r>
        <w:rPr>
          <w:rFonts w:hint="eastAsia" w:ascii="宋体" w:hAnsi="宋体"/>
          <w:bCs/>
          <w:color w:val="auto"/>
          <w:sz w:val="24"/>
          <w:szCs w:val="24"/>
          <w:highlight w:val="none"/>
          <w:lang w:val="zh-CN"/>
        </w:rPr>
        <w:t>。</w:t>
      </w:r>
      <w:bookmarkEnd w:id="37"/>
      <w:r>
        <w:rPr>
          <w:rFonts w:hint="eastAsia" w:ascii="宋体" w:hAnsi="宋体"/>
          <w:bCs/>
          <w:color w:val="auto"/>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5CB0E86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8.2 </w:t>
      </w:r>
      <w:r>
        <w:rPr>
          <w:rFonts w:hint="eastAsia" w:ascii="宋体" w:hAnsi="宋体"/>
          <w:bCs/>
          <w:color w:val="auto"/>
          <w:sz w:val="24"/>
          <w:szCs w:val="24"/>
          <w:highlight w:val="none"/>
          <w:lang w:val="zh-CN"/>
        </w:rPr>
        <w:t>投标人所报的各分项投标单价（投标比率）在合同履行过程中是固定不变的，不得以任何理由予以变更。任何包含价格调整要求的投标，其投标将被认定为投标无效。</w:t>
      </w:r>
    </w:p>
    <w:p w14:paraId="0B0AD740">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每种服务及货物只能有一个投标报价。采购人不接受具有附加条件的报价。</w:t>
      </w:r>
    </w:p>
    <w:p w14:paraId="6835F07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bookmarkEnd w:id="36"/>
    <w:p w14:paraId="76B31401">
      <w:pPr>
        <w:spacing w:line="360" w:lineRule="auto"/>
        <w:ind w:firstLine="480" w:firstLineChars="200"/>
        <w:rPr>
          <w:rFonts w:hint="eastAsia" w:ascii="宋体" w:hAnsi="宋体"/>
          <w:bCs/>
          <w:color w:val="auto"/>
          <w:sz w:val="24"/>
          <w:szCs w:val="24"/>
          <w:highlight w:val="none"/>
          <w:lang w:val="zh-CN"/>
        </w:rPr>
      </w:pPr>
      <w:bookmarkStart w:id="38" w:name="OLE_LINK94"/>
      <w:r>
        <w:rPr>
          <w:rFonts w:hint="eastAsia" w:ascii="宋体" w:hAnsi="宋体"/>
          <w:bCs/>
          <w:color w:val="auto"/>
          <w:sz w:val="24"/>
          <w:szCs w:val="24"/>
          <w:highlight w:val="none"/>
        </w:rPr>
        <w:t>9.1</w:t>
      </w:r>
      <w:bookmarkStart w:id="39" w:name="OLE_LINK203"/>
      <w:r>
        <w:rPr>
          <w:rFonts w:hint="eastAsia" w:ascii="宋体" w:hAnsi="宋体"/>
          <w:bCs/>
          <w:color w:val="auto"/>
          <w:sz w:val="24"/>
          <w:szCs w:val="24"/>
          <w:highlight w:val="none"/>
        </w:rPr>
        <w:t xml:space="preserve"> </w:t>
      </w:r>
      <w:bookmarkEnd w:id="39"/>
      <w:r>
        <w:rPr>
          <w:rFonts w:hint="eastAsia" w:ascii="宋体" w:hAnsi="宋体"/>
          <w:bCs/>
          <w:color w:val="auto"/>
          <w:sz w:val="24"/>
          <w:szCs w:val="24"/>
          <w:highlight w:val="none"/>
          <w:lang w:val="zh-CN"/>
        </w:rPr>
        <w:t>所有文件、往来函件均应使用简体中文（规格、型号辅助符号例外）。</w:t>
      </w:r>
    </w:p>
    <w:p w14:paraId="52E82FF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投标人所使用的计量单位应为国家法定计量单位。</w:t>
      </w:r>
    </w:p>
    <w:p w14:paraId="2B775E0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40"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1" w:name="OLE_LINK225"/>
      <w:r>
        <w:rPr>
          <w:rFonts w:hint="eastAsia" w:ascii="宋体" w:hAnsi="宋体"/>
          <w:bCs/>
          <w:color w:val="auto"/>
          <w:sz w:val="24"/>
          <w:szCs w:val="24"/>
          <w:highlight w:val="none"/>
        </w:rPr>
        <w:t>承诺实质性响应</w:t>
      </w:r>
      <w:bookmarkEnd w:id="41"/>
      <w:r>
        <w:rPr>
          <w:rFonts w:hint="eastAsia" w:ascii="宋体" w:hAnsi="宋体"/>
          <w:bCs/>
          <w:color w:val="auto"/>
          <w:sz w:val="24"/>
          <w:szCs w:val="24"/>
          <w:highlight w:val="none"/>
        </w:rPr>
        <w:t>招标文件的要求。</w:t>
      </w:r>
      <w:bookmarkEnd w:id="40"/>
    </w:p>
    <w:p w14:paraId="02D55F1C">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 xml:space="preserve">.4 </w:t>
      </w:r>
      <w:bookmarkStart w:id="42" w:name="OLE_LINK120"/>
      <w:bookmarkStart w:id="43"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2"/>
      <w:r>
        <w:rPr>
          <w:rFonts w:hint="eastAsia" w:ascii="宋体" w:hAnsi="宋体"/>
          <w:color w:val="auto"/>
          <w:sz w:val="24"/>
          <w:szCs w:val="28"/>
          <w:highlight w:val="none"/>
        </w:rPr>
        <w:t>并加盖投标人公章。</w:t>
      </w:r>
      <w:bookmarkEnd w:id="43"/>
    </w:p>
    <w:p w14:paraId="5BF0616A">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rPr>
        <w:t>9.5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4" w:name="OLE_LINK122"/>
      <w:r>
        <w:rPr>
          <w:rFonts w:hint="eastAsia" w:ascii="宋体" w:hAnsi="宋体"/>
          <w:bCs/>
          <w:color w:val="auto"/>
          <w:sz w:val="24"/>
          <w:szCs w:val="24"/>
          <w:highlight w:val="none"/>
        </w:rPr>
        <w:t>注明“正本”、“副本”字样</w:t>
      </w:r>
      <w:bookmarkEnd w:id="44"/>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7F3269CE">
      <w:pPr>
        <w:pStyle w:val="15"/>
        <w:spacing w:line="360" w:lineRule="auto"/>
        <w:rPr>
          <w:rFonts w:hint="eastAsia"/>
          <w:color w:val="auto"/>
          <w:highlight w:val="none"/>
        </w:rPr>
      </w:pPr>
      <w:r>
        <w:rPr>
          <w:rFonts w:hint="eastAsia" w:cs="Times New Roman"/>
          <w:color w:val="auto"/>
          <w:sz w:val="24"/>
          <w:szCs w:val="28"/>
          <w:highlight w:val="none"/>
        </w:rPr>
        <w:t>9.6纸质投标文件采用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14:paraId="73ACB96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9.7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5AF2FF8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9.8 </w:t>
      </w:r>
      <w:bookmarkStart w:id="45" w:name="OLE_LINK123"/>
      <w:r>
        <w:rPr>
          <w:rFonts w:hint="eastAsia" w:ascii="宋体" w:hAnsi="宋体"/>
          <w:bCs/>
          <w:color w:val="auto"/>
          <w:sz w:val="24"/>
          <w:szCs w:val="24"/>
          <w:highlight w:val="none"/>
        </w:rPr>
        <w:t>投标人须对投标文件进行密封，同时注明投标人名称。</w:t>
      </w:r>
      <w:bookmarkEnd w:id="45"/>
    </w:p>
    <w:p w14:paraId="6B2D58B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14:paraId="023AF706">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投标人（含中标供应商）应对其投标文件中提供的所有材料的真实性负责。</w:t>
      </w:r>
    </w:p>
    <w:p w14:paraId="7D19D913">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6" w:name="OLE_LINK45"/>
      <w:r>
        <w:rPr>
          <w:rFonts w:hint="eastAsia" w:ascii="宋体" w:hAnsi="宋体"/>
          <w:color w:val="auto"/>
          <w:sz w:val="24"/>
          <w:szCs w:val="28"/>
          <w:highlight w:val="none"/>
        </w:rPr>
        <w:t>采购人、</w:t>
      </w:r>
      <w:bookmarkEnd w:id="46"/>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38CFEF1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14:paraId="317A047A">
      <w:pPr>
        <w:spacing w:line="360" w:lineRule="auto"/>
        <w:ind w:firstLine="480" w:firstLineChars="200"/>
        <w:rPr>
          <w:rFonts w:hint="eastAsia" w:ascii="宋体" w:hAnsi="宋体"/>
          <w:bCs/>
          <w:color w:val="auto"/>
          <w:sz w:val="24"/>
          <w:szCs w:val="24"/>
          <w:highlight w:val="none"/>
        </w:rPr>
      </w:pPr>
      <w:bookmarkStart w:id="47" w:name="OLE_LINK259"/>
      <w:bookmarkStart w:id="48" w:name="OLE_LINK124"/>
      <w:r>
        <w:rPr>
          <w:rFonts w:hint="eastAsia" w:ascii="宋体" w:hAnsi="宋体"/>
          <w:bCs/>
          <w:color w:val="auto"/>
          <w:sz w:val="24"/>
          <w:szCs w:val="24"/>
          <w:highlight w:val="none"/>
        </w:rPr>
        <w:t>投标人应在招标文件规定的</w:t>
      </w:r>
      <w:bookmarkStart w:id="49" w:name="OLE_LINK6"/>
      <w:r>
        <w:rPr>
          <w:rFonts w:hint="eastAsia" w:ascii="宋体" w:hAnsi="宋体"/>
          <w:bCs/>
          <w:color w:val="auto"/>
          <w:sz w:val="24"/>
          <w:szCs w:val="24"/>
          <w:highlight w:val="none"/>
        </w:rPr>
        <w:t>投标</w:t>
      </w:r>
      <w:bookmarkEnd w:id="49"/>
      <w:r>
        <w:rPr>
          <w:rFonts w:hint="eastAsia" w:ascii="宋体" w:hAnsi="宋体"/>
          <w:bCs/>
          <w:color w:val="auto"/>
          <w:sz w:val="24"/>
          <w:szCs w:val="24"/>
          <w:highlight w:val="none"/>
        </w:rPr>
        <w:t>截止时间之前，将投标文件及相关资料送达招标文件指定地点，并递交给采购人或采购机构现场工作人员。</w:t>
      </w:r>
      <w:bookmarkEnd w:id="47"/>
    </w:p>
    <w:p w14:paraId="37F005A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12、有下列情形之一的投标文件将拒收</w:t>
      </w:r>
    </w:p>
    <w:p w14:paraId="727142D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4AABF82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8"/>
    </w:p>
    <w:bookmarkEnd w:id="48"/>
    <w:p w14:paraId="6A1E152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4F8C125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可与投标人协商延长投标文件的有效期。</w:t>
      </w:r>
    </w:p>
    <w:p w14:paraId="43FEF11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36F747D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投标截止时间后，采购人和采购机构对所有投标人的投标文件一律不予退还。</w:t>
      </w:r>
    </w:p>
    <w:p w14:paraId="1ED9375A">
      <w:pPr>
        <w:spacing w:line="360" w:lineRule="auto"/>
        <w:ind w:firstLine="482" w:firstLineChars="200"/>
        <w:rPr>
          <w:rFonts w:hint="eastAsia" w:ascii="宋体" w:hAnsi="宋体"/>
          <w:b/>
          <w:color w:val="auto"/>
          <w:sz w:val="24"/>
          <w:szCs w:val="24"/>
          <w:highlight w:val="none"/>
        </w:rPr>
      </w:pPr>
      <w:bookmarkStart w:id="50" w:name="OLE_LINK125"/>
      <w:r>
        <w:rPr>
          <w:rFonts w:hint="eastAsia" w:ascii="宋体" w:hAnsi="宋体"/>
          <w:b/>
          <w:color w:val="auto"/>
          <w:sz w:val="24"/>
          <w:szCs w:val="24"/>
          <w:highlight w:val="none"/>
        </w:rPr>
        <w:t>15、投标文件的修改和撤回</w:t>
      </w:r>
    </w:p>
    <w:bookmarkEnd w:id="50"/>
    <w:p w14:paraId="7E700AD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rPr>
        <w:t>采购人或采购代理机构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14:paraId="1296ACD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w:t>
      </w:r>
      <w:bookmarkStart w:id="51" w:name="OLE_LINK74"/>
      <w:r>
        <w:rPr>
          <w:rFonts w:hint="eastAsia" w:ascii="宋体" w:hAnsi="宋体"/>
          <w:bCs/>
          <w:color w:val="auto"/>
          <w:sz w:val="24"/>
          <w:szCs w:val="24"/>
          <w:highlight w:val="none"/>
        </w:rPr>
        <w:t>采购机构</w:t>
      </w:r>
      <w:bookmarkEnd w:id="51"/>
      <w:r>
        <w:rPr>
          <w:rFonts w:hint="eastAsia" w:ascii="宋体" w:hAnsi="宋体"/>
          <w:bCs/>
          <w:color w:val="auto"/>
          <w:sz w:val="24"/>
          <w:szCs w:val="24"/>
          <w:highlight w:val="none"/>
        </w:rPr>
        <w:t>、评标委员会不接受投标人主动对其投标文件做任何补充、修改。</w:t>
      </w:r>
    </w:p>
    <w:p w14:paraId="7794FDED">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7AE4203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投标人有下列情况之一者，其投标无效：</w:t>
      </w:r>
    </w:p>
    <w:p w14:paraId="6BE6A7F5">
      <w:pPr>
        <w:tabs>
          <w:tab w:val="left" w:pos="425"/>
        </w:tabs>
        <w:spacing w:line="360" w:lineRule="auto"/>
        <w:ind w:firstLine="480" w:firstLineChars="200"/>
        <w:rPr>
          <w:rFonts w:hint="eastAsia" w:ascii="宋体" w:hAnsi="宋体"/>
          <w:bCs/>
          <w:color w:val="auto"/>
          <w:sz w:val="24"/>
          <w:szCs w:val="24"/>
          <w:highlight w:val="none"/>
          <w:lang w:val="zh-CN"/>
        </w:rPr>
      </w:pPr>
      <w:bookmarkStart w:id="52" w:name="OLE_LINK126"/>
      <w:r>
        <w:rPr>
          <w:rFonts w:hint="eastAsia" w:ascii="宋体" w:hAnsi="宋体" w:cs="宋体"/>
          <w:color w:val="auto"/>
          <w:sz w:val="24"/>
          <w:szCs w:val="24"/>
          <w:highlight w:val="none"/>
        </w:rPr>
        <w:t>16.1.1未按照招标文件的规定提交投标保证金的；</w:t>
      </w:r>
    </w:p>
    <w:p w14:paraId="49C42881">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16.1.2投标文件未按招标文件给定格式如实填写（编写）的或未按要求签署、盖章的；</w:t>
      </w:r>
    </w:p>
    <w:p w14:paraId="41DFEBB3">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16.1.3不具备招标文件投标邀请函中“2.1投标人参加本次采购活动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2EAEC76A">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16.1.4投标文件中有招标文件未允许提供的选择性内容的</w:t>
      </w:r>
      <w:r>
        <w:rPr>
          <w:rFonts w:hint="eastAsia" w:ascii="宋体" w:hAnsi="宋体"/>
          <w:bCs/>
          <w:color w:val="auto"/>
          <w:sz w:val="24"/>
          <w:szCs w:val="24"/>
          <w:highlight w:val="none"/>
          <w:lang w:val="zh-CN"/>
        </w:rPr>
        <w:t>；</w:t>
      </w:r>
    </w:p>
    <w:p w14:paraId="5325FF10">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16.1.5投标文件含有采购人不能接受的附加条件的；</w:t>
      </w:r>
    </w:p>
    <w:p w14:paraId="26E9029A">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16.1.6</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4FE8D856">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出现前后不一致，且投标人拒绝修正的；</w:t>
      </w:r>
    </w:p>
    <w:p w14:paraId="5B1CEC56">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16.1.8评标委员会认为投标人的报价明显低于其他通过符合性审查投标人的报价，有可能影响产品质量或者不能诚信履约，且投标人不能证明其报价合理性的；</w:t>
      </w:r>
    </w:p>
    <w:p w14:paraId="2B6D653D">
      <w:pPr>
        <w:tabs>
          <w:tab w:val="left" w:pos="0"/>
          <w:tab w:val="left" w:pos="42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bCs/>
          <w:color w:val="auto"/>
          <w:sz w:val="24"/>
          <w:szCs w:val="24"/>
          <w:highlight w:val="none"/>
        </w:rPr>
        <w:t>16.1.9属于投标邀请函2.3拒绝参加本次采购活动供应商的；</w:t>
      </w:r>
    </w:p>
    <w:p w14:paraId="2527EE65">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16.1.10与其他投标人串通投标的，包括但不限于以下几种情况：</w:t>
      </w:r>
    </w:p>
    <w:p w14:paraId="3C8DFCC8">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不同投标人的投标文件由同一单位或者个人编制</w:t>
      </w:r>
      <w:r>
        <w:rPr>
          <w:rFonts w:hint="eastAsia" w:ascii="宋体" w:hAnsi="宋体"/>
          <w:bCs/>
          <w:color w:val="auto"/>
          <w:sz w:val="24"/>
          <w:szCs w:val="24"/>
          <w:highlight w:val="none"/>
          <w:lang w:val="zh-CN"/>
        </w:rPr>
        <w:t>；</w:t>
      </w:r>
    </w:p>
    <w:p w14:paraId="4011F4FD">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不同投标人委托同一单位或者个人办理投标事宜</w:t>
      </w:r>
      <w:r>
        <w:rPr>
          <w:rFonts w:hint="eastAsia" w:ascii="宋体" w:hAnsi="宋体"/>
          <w:bCs/>
          <w:color w:val="auto"/>
          <w:sz w:val="24"/>
          <w:szCs w:val="24"/>
          <w:highlight w:val="none"/>
          <w:lang w:val="zh-CN"/>
        </w:rPr>
        <w:t>；</w:t>
      </w:r>
    </w:p>
    <w:p w14:paraId="1E0DE274">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不同投标人的投标文件载明的项目管理成员或者联系人员为同一人</w:t>
      </w:r>
      <w:r>
        <w:rPr>
          <w:rFonts w:hint="eastAsia" w:ascii="宋体" w:hAnsi="宋体"/>
          <w:bCs/>
          <w:color w:val="auto"/>
          <w:sz w:val="24"/>
          <w:szCs w:val="24"/>
          <w:highlight w:val="none"/>
          <w:lang w:val="zh-CN"/>
        </w:rPr>
        <w:t>；</w:t>
      </w:r>
    </w:p>
    <w:p w14:paraId="694DE61A">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不同投标人的投标文件异常一致或者投标报价呈规律性差异</w:t>
      </w:r>
      <w:r>
        <w:rPr>
          <w:rFonts w:hint="eastAsia" w:ascii="宋体" w:hAnsi="宋体"/>
          <w:bCs/>
          <w:color w:val="auto"/>
          <w:sz w:val="24"/>
          <w:szCs w:val="24"/>
          <w:highlight w:val="none"/>
          <w:lang w:val="zh-CN"/>
        </w:rPr>
        <w:t>；</w:t>
      </w:r>
    </w:p>
    <w:p w14:paraId="26B7DF27">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不同投标人的投标文件相互混装；</w:t>
      </w:r>
    </w:p>
    <w:p w14:paraId="57BE2377">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不同投标人的投标保证金从同一单位或者个人的账户转出。</w:t>
      </w:r>
    </w:p>
    <w:p w14:paraId="6CD40ACD">
      <w:pPr>
        <w:tabs>
          <w:tab w:val="left" w:pos="425"/>
        </w:tabs>
        <w:spacing w:line="360" w:lineRule="auto"/>
        <w:ind w:firstLine="480" w:firstLineChars="200"/>
        <w:rPr>
          <w:rFonts w:hint="eastAsia" w:ascii="宋体" w:hAnsi="宋体"/>
          <w:bCs/>
          <w:color w:val="auto"/>
          <w:sz w:val="24"/>
          <w:szCs w:val="24"/>
          <w:highlight w:val="none"/>
          <w:lang w:val="zh-CN"/>
        </w:rPr>
      </w:pPr>
      <w:bookmarkStart w:id="53" w:name="OLE_LINK81"/>
      <w:r>
        <w:rPr>
          <w:rFonts w:hint="eastAsia" w:ascii="宋体" w:hAnsi="宋体"/>
          <w:bCs/>
          <w:color w:val="auto"/>
          <w:sz w:val="24"/>
          <w:szCs w:val="24"/>
          <w:highlight w:val="none"/>
        </w:rPr>
        <w:t>16.1.11</w:t>
      </w:r>
      <w:r>
        <w:rPr>
          <w:rFonts w:hint="eastAsia" w:ascii="宋体" w:hAnsi="宋体"/>
          <w:bCs/>
          <w:color w:val="auto"/>
          <w:sz w:val="24"/>
          <w:szCs w:val="24"/>
          <w:highlight w:val="none"/>
          <w:lang w:val="zh-CN"/>
        </w:rPr>
        <w:t>提供虚假材料</w:t>
      </w:r>
      <w:bookmarkStart w:id="54" w:name="OLE_LINK137"/>
      <w:r>
        <w:rPr>
          <w:rFonts w:hint="eastAsia" w:ascii="宋体" w:hAnsi="宋体" w:cs="宋体"/>
          <w:color w:val="auto"/>
          <w:sz w:val="24"/>
          <w:szCs w:val="24"/>
          <w:highlight w:val="none"/>
          <w:lang w:val="zh-CN"/>
        </w:rPr>
        <w:t>（含虚假承诺）</w:t>
      </w:r>
      <w:bookmarkEnd w:id="54"/>
      <w:r>
        <w:rPr>
          <w:rFonts w:hint="eastAsia" w:ascii="宋体" w:hAnsi="宋体"/>
          <w:bCs/>
          <w:color w:val="auto"/>
          <w:sz w:val="24"/>
          <w:szCs w:val="24"/>
          <w:highlight w:val="none"/>
          <w:lang w:val="zh-CN"/>
        </w:rPr>
        <w:t>的</w:t>
      </w:r>
      <w:bookmarkEnd w:id="53"/>
      <w:r>
        <w:rPr>
          <w:rFonts w:hint="eastAsia" w:ascii="宋体" w:hAnsi="宋体"/>
          <w:bCs/>
          <w:color w:val="auto"/>
          <w:sz w:val="24"/>
          <w:szCs w:val="24"/>
          <w:highlight w:val="none"/>
          <w:lang w:val="zh-CN"/>
        </w:rPr>
        <w:t>；</w:t>
      </w:r>
    </w:p>
    <w:p w14:paraId="4E6DD23F">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0F858679">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16.1.13法律、法规和招标文件规定的其他无效情形</w:t>
      </w:r>
      <w:r>
        <w:rPr>
          <w:rFonts w:hint="eastAsia" w:ascii="宋体" w:hAnsi="宋体"/>
          <w:bCs/>
          <w:color w:val="auto"/>
          <w:sz w:val="24"/>
          <w:szCs w:val="24"/>
          <w:highlight w:val="none"/>
          <w:lang w:val="zh-CN"/>
        </w:rPr>
        <w:t>。</w:t>
      </w:r>
      <w:bookmarkEnd w:id="52"/>
    </w:p>
    <w:p w14:paraId="0276D778">
      <w:pPr>
        <w:numPr>
          <w:ilvl w:val="0"/>
          <w:numId w:val="0"/>
        </w:numPr>
        <w:spacing w:line="360" w:lineRule="auto"/>
        <w:ind w:firstLine="354" w:firstLineChars="147"/>
        <w:rPr>
          <w:rFonts w:hint="eastAsia" w:ascii="宋体" w:hAnsi="宋体" w:cs="宋体"/>
          <w:b/>
          <w:color w:val="auto"/>
          <w:sz w:val="24"/>
          <w:szCs w:val="24"/>
          <w:highlight w:val="none"/>
        </w:rPr>
      </w:pPr>
      <w:r>
        <w:rPr>
          <w:rFonts w:hint="eastAsia" w:ascii="宋体" w:hAnsi="宋体" w:cs="宋体"/>
          <w:b/>
          <w:color w:val="auto"/>
          <w:kern w:val="2"/>
          <w:sz w:val="24"/>
          <w:szCs w:val="24"/>
          <w:highlight w:val="none"/>
          <w:lang w:val="en-US" w:eastAsia="zh-CN" w:bidi="ar-SA"/>
        </w:rPr>
        <w:t>四、</w:t>
      </w: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4320BDD5">
      <w:pPr>
        <w:numPr>
          <w:ilvl w:val="0"/>
          <w:numId w:val="2"/>
        </w:num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本项目不接受联合体，不接受中标后分包。</w:t>
      </w:r>
    </w:p>
    <w:p w14:paraId="6CC750A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7634A3F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6D87D6B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 xml:space="preserve">.1 </w:t>
      </w:r>
      <w:bookmarkStart w:id="55" w:name="OLE_LINK276"/>
      <w:r>
        <w:rPr>
          <w:rFonts w:hint="eastAsia" w:ascii="宋体" w:hAnsi="宋体"/>
          <w:bCs/>
          <w:color w:val="auto"/>
          <w:sz w:val="24"/>
          <w:szCs w:val="24"/>
          <w:highlight w:val="none"/>
          <w:lang w:val="zh-CN"/>
        </w:rPr>
        <w:t>采购人按招标文件规定的时间在指定地点召开开标大会，邀请所有投标人代表参加。</w:t>
      </w:r>
    </w:p>
    <w:p w14:paraId="335AF5F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投标人不足</w:t>
      </w:r>
      <w:r>
        <w:rPr>
          <w:rFonts w:hint="eastAsia" w:ascii="宋体" w:hAnsi="宋体"/>
          <w:bCs/>
          <w:color w:val="auto"/>
          <w:sz w:val="24"/>
          <w:szCs w:val="24"/>
          <w:highlight w:val="none"/>
        </w:rPr>
        <w:t>3家的，不得开标。</w:t>
      </w:r>
    </w:p>
    <w:bookmarkEnd w:id="55"/>
    <w:p w14:paraId="454D6460">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18.2 </w:t>
      </w:r>
      <w:r>
        <w:rPr>
          <w:rFonts w:hint="eastAsia" w:ascii="宋体" w:hAnsi="宋体"/>
          <w:bCs/>
          <w:color w:val="auto"/>
          <w:sz w:val="24"/>
          <w:szCs w:val="24"/>
          <w:highlight w:val="none"/>
          <w:lang w:val="zh-CN"/>
        </w:rPr>
        <w:t>开标时由投标人自行检查其投标文件的密封情况，经确认无误后，采购人或采购机构当众拆封，宣布投标人名称、投标价格（开标一览表</w:t>
      </w:r>
      <w:bookmarkStart w:id="56" w:name="OLE_LINK310"/>
      <w:r>
        <w:rPr>
          <w:rFonts w:hint="eastAsia" w:ascii="宋体" w:hAnsi="宋体"/>
          <w:bCs/>
          <w:color w:val="auto"/>
          <w:sz w:val="24"/>
          <w:szCs w:val="24"/>
          <w:highlight w:val="none"/>
          <w:lang w:val="zh-CN"/>
        </w:rPr>
        <w:t>中合计金额（大写金额）</w:t>
      </w:r>
      <w:bookmarkEnd w:id="56"/>
      <w:r>
        <w:rPr>
          <w:rFonts w:hint="eastAsia" w:ascii="宋体" w:hAnsi="宋体"/>
          <w:bCs/>
          <w:color w:val="auto"/>
          <w:sz w:val="24"/>
          <w:szCs w:val="24"/>
          <w:highlight w:val="none"/>
          <w:lang w:val="zh-CN"/>
        </w:rPr>
        <w:t>）和招标文件规定的需要宣布的其他内容。</w:t>
      </w:r>
    </w:p>
    <w:p w14:paraId="2D05C88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7"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57"/>
      <w:r>
        <w:rPr>
          <w:rFonts w:hint="eastAsia" w:ascii="宋体" w:hAnsi="宋体"/>
          <w:bCs/>
          <w:color w:val="auto"/>
          <w:sz w:val="24"/>
          <w:szCs w:val="24"/>
          <w:highlight w:val="none"/>
          <w:lang w:val="zh-CN"/>
        </w:rPr>
        <w:t>投标人未参加开标的，视同认可开标结果。</w:t>
      </w:r>
    </w:p>
    <w:p w14:paraId="252932A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18.4 </w:t>
      </w:r>
      <w:bookmarkStart w:id="58" w:name="OLE_LINK131"/>
      <w:bookmarkStart w:id="59"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58"/>
      <w:bookmarkStart w:id="60"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59"/>
      <w:bookmarkEnd w:id="60"/>
      <w:r>
        <w:rPr>
          <w:rFonts w:hint="eastAsia" w:ascii="宋体" w:hAnsi="宋体"/>
          <w:bCs/>
          <w:color w:val="auto"/>
          <w:sz w:val="24"/>
          <w:szCs w:val="24"/>
          <w:highlight w:val="none"/>
          <w:lang w:val="zh-CN"/>
        </w:rPr>
        <w:t>。</w:t>
      </w:r>
    </w:p>
    <w:p w14:paraId="6806A5A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19、资格性审查</w:t>
      </w:r>
    </w:p>
    <w:p w14:paraId="6A78B555">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19.1 开标结束后，</w:t>
      </w:r>
      <w:r>
        <w:rPr>
          <w:rFonts w:hint="eastAsia" w:ascii="宋体" w:hAnsi="宋体" w:cs="宋体"/>
          <w:color w:val="auto"/>
          <w:sz w:val="24"/>
          <w:szCs w:val="24"/>
          <w:highlight w:val="none"/>
        </w:rPr>
        <w:t>采购人现场依法对投标人的资格进行审查。</w:t>
      </w:r>
    </w:p>
    <w:p w14:paraId="018F8F8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61B8CF1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资格审查包括两部分内容：</w:t>
      </w:r>
    </w:p>
    <w:p w14:paraId="0E2B355F">
      <w:pPr>
        <w:spacing w:line="360" w:lineRule="auto"/>
        <w:ind w:firstLine="480" w:firstLineChars="200"/>
        <w:rPr>
          <w:rFonts w:hint="eastAsia" w:ascii="宋体" w:hAnsi="宋体" w:cs="宋体"/>
          <w:color w:val="auto"/>
          <w:sz w:val="24"/>
          <w:szCs w:val="24"/>
          <w:highlight w:val="none"/>
        </w:rPr>
      </w:pPr>
      <w:bookmarkStart w:id="61" w:name="OLE_LINK257"/>
      <w:r>
        <w:rPr>
          <w:rFonts w:hint="eastAsia" w:ascii="宋体" w:hAnsi="宋体" w:cs="宋体"/>
          <w:color w:val="auto"/>
          <w:sz w:val="24"/>
          <w:szCs w:val="24"/>
          <w:highlight w:val="none"/>
        </w:rPr>
        <w:t xml:space="preserve">19.2.1 </w:t>
      </w:r>
      <w:bookmarkEnd w:id="61"/>
      <w:r>
        <w:rPr>
          <w:rFonts w:hint="eastAsia" w:ascii="宋体" w:hAnsi="宋体" w:cs="宋体"/>
          <w:color w:val="auto"/>
          <w:sz w:val="24"/>
          <w:szCs w:val="24"/>
          <w:highlight w:val="none"/>
        </w:rPr>
        <w:t>按照本须知“7、投标文件的组成”中“</w:t>
      </w:r>
      <w:r>
        <w:rPr>
          <w:rFonts w:hint="eastAsia" w:ascii="宋体" w:hAnsi="宋体" w:cs="宋体"/>
          <w:color w:val="auto"/>
          <w:sz w:val="24"/>
          <w:szCs w:val="24"/>
          <w:highlight w:val="none"/>
          <w:lang w:val="en-US" w:eastAsia="zh-CN"/>
        </w:rPr>
        <w:t>7.3</w:t>
      </w:r>
      <w:r>
        <w:rPr>
          <w:rFonts w:hint="eastAsia" w:ascii="宋体" w:hAnsi="宋体" w:cs="宋体"/>
          <w:color w:val="auto"/>
          <w:sz w:val="24"/>
          <w:szCs w:val="24"/>
          <w:highlight w:val="none"/>
        </w:rPr>
        <w:t>资格证明文件”的要求依法对投标人的资格进行审查。</w:t>
      </w:r>
    </w:p>
    <w:p w14:paraId="62E635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19.2.2 信用查询。</w:t>
      </w:r>
    </w:p>
    <w:p w14:paraId="138E60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45BFCEA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执行人、重大税收违法案件当事人名单、政府采购严重违法失信名单，或在“中国政府采购网”网站（www.ccgp.gov.cn）被列入政府采购严重违法失信行为记录名单。</w:t>
      </w:r>
    </w:p>
    <w:p w14:paraId="40471F70">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查询及记录方式：采购人将查询网页打印、签字并存档备查。投标人不良信用记录以</w:t>
      </w:r>
      <w:r>
        <w:rPr>
          <w:rFonts w:hint="eastAsia" w:ascii="宋体" w:hAnsi="宋体"/>
          <w:bCs/>
          <w:color w:val="auto"/>
          <w:sz w:val="24"/>
          <w:szCs w:val="24"/>
          <w:highlight w:val="none"/>
        </w:rPr>
        <w:t>采购人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6DF2388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20、评标</w:t>
      </w:r>
    </w:p>
    <w:p w14:paraId="5688716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20.1 具体评标事务由采购人依法组建的评标委员会负责。</w:t>
      </w:r>
    </w:p>
    <w:p w14:paraId="29724A28">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20.2评标委员会对符合资格的投标人的投标文件进行符合性审查，以确定其是否满足招标文件的实质性要求。</w:t>
      </w:r>
      <w:r>
        <w:rPr>
          <w:rFonts w:hint="eastAsia" w:ascii="宋体" w:hAnsi="宋体"/>
          <w:b/>
          <w:color w:val="auto"/>
          <w:sz w:val="24"/>
          <w:szCs w:val="24"/>
          <w:highlight w:val="none"/>
          <w:lang w:val="zh-CN"/>
        </w:rPr>
        <w:t>实质性要求是指本招标文件中</w:t>
      </w:r>
      <w:r>
        <w:rPr>
          <w:rFonts w:hint="eastAsia" w:ascii="宋体" w:hAnsi="宋体"/>
          <w:b/>
          <w:color w:val="auto"/>
          <w:sz w:val="24"/>
          <w:szCs w:val="24"/>
          <w:highlight w:val="none"/>
        </w:rPr>
        <w:t>“第三章 项目技术要求和有关说明”部分及其他“必须”或“应（应当）”等文字说明的相关要求。</w:t>
      </w:r>
    </w:p>
    <w:p w14:paraId="0B76538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w:t>
      </w:r>
      <w:bookmarkStart w:id="62" w:name="OLE_LINK132"/>
      <w:r>
        <w:rPr>
          <w:rFonts w:hint="eastAsia" w:ascii="宋体" w:hAnsi="宋体"/>
          <w:bCs/>
          <w:color w:val="auto"/>
          <w:sz w:val="24"/>
          <w:szCs w:val="24"/>
          <w:highlight w:val="none"/>
        </w:rPr>
        <w:t>3</w:t>
      </w:r>
      <w:r>
        <w:rPr>
          <w:rFonts w:hint="eastAsia" w:ascii="宋体" w:hAnsi="宋体"/>
          <w:b/>
          <w:color w:val="auto"/>
          <w:sz w:val="24"/>
          <w:szCs w:val="24"/>
          <w:highlight w:val="none"/>
        </w:rPr>
        <w:t xml:space="preserve"> 澄清有关问题。</w:t>
      </w:r>
      <w:bookmarkEnd w:id="62"/>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4D7A63E7">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 xml:space="preserve">.4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08BC3394">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w:t>
      </w:r>
      <w:r>
        <w:rPr>
          <w:rFonts w:hint="eastAsia" w:ascii="宋体"/>
          <w:bCs/>
          <w:color w:val="auto"/>
          <w:sz w:val="24"/>
          <w:szCs w:val="24"/>
          <w:highlight w:val="none"/>
        </w:rPr>
        <w:t xml:space="preserve">5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。本次招标采用综合评分法。</w:t>
      </w:r>
    </w:p>
    <w:p w14:paraId="1CB66A3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highlight w:val="none"/>
        </w:rPr>
        <w:t>.5.1本次招标采用综合评分法。评标委员会</w:t>
      </w:r>
      <w:bookmarkStart w:id="63" w:name="OLE_LINK17"/>
      <w:r>
        <w:rPr>
          <w:rFonts w:hint="eastAsia" w:ascii="宋体" w:hAnsi="宋体"/>
          <w:bCs/>
          <w:color w:val="auto"/>
          <w:sz w:val="24"/>
          <w:highlight w:val="none"/>
        </w:rPr>
        <w:t>在</w:t>
      </w:r>
      <w:r>
        <w:rPr>
          <w:rFonts w:hint="eastAsia" w:ascii="宋体" w:hAnsi="宋体" w:cs="宋体"/>
          <w:color w:val="auto"/>
          <w:sz w:val="24"/>
          <w:szCs w:val="24"/>
          <w:highlight w:val="none"/>
        </w:rPr>
        <w:t>投标文件满足招标文件全部实质性要求</w:t>
      </w:r>
      <w:r>
        <w:rPr>
          <w:rFonts w:hint="eastAsia" w:ascii="宋体" w:hAnsi="宋体"/>
          <w:bCs/>
          <w:color w:val="auto"/>
          <w:sz w:val="24"/>
          <w:highlight w:val="none"/>
        </w:rPr>
        <w:t>的前提下</w:t>
      </w:r>
      <w:bookmarkEnd w:id="63"/>
      <w:r>
        <w:rPr>
          <w:rFonts w:hint="eastAsia" w:ascii="宋体" w:hAnsi="宋体"/>
          <w:bCs/>
          <w:color w:val="auto"/>
          <w:sz w:val="24"/>
          <w:szCs w:val="24"/>
          <w:highlight w:val="none"/>
          <w:lang w:val="zh-CN"/>
        </w:rPr>
        <w:t>，按照招标文件确定的评分标准分别评定投标人的分值，各评委所评定分值的平均值为各投标人的最终得分，并按由高到低顺序排列，推荐三名中标候选人。</w:t>
      </w:r>
    </w:p>
    <w:p w14:paraId="125FF259">
      <w:pPr>
        <w:tabs>
          <w:tab w:val="left" w:pos="945"/>
        </w:tabs>
        <w:spacing w:line="360" w:lineRule="auto"/>
        <w:ind w:left="1"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lang w:val="zh-CN"/>
        </w:rPr>
        <w:t>若得分相同，按投标报价由低到高顺序排列；若得分且投标报价均相同的，则进行随机抽签，</w:t>
      </w:r>
      <w:r>
        <w:rPr>
          <w:rFonts w:hint="eastAsia" w:ascii="宋体" w:hAnsi="宋体"/>
          <w:bCs/>
          <w:color w:val="auto"/>
          <w:sz w:val="24"/>
          <w:szCs w:val="24"/>
          <w:highlight w:val="none"/>
        </w:rPr>
        <w:t>按抽取号码值从大到小的顺序排列。随机抽签活动，按下列程序公开进行：</w:t>
      </w:r>
    </w:p>
    <w:p w14:paraId="618E858A">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14:paraId="4002E67F">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07CDABB8">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670612D8">
      <w:pPr>
        <w:tabs>
          <w:tab w:val="left" w:pos="945"/>
        </w:tabs>
        <w:spacing w:line="360" w:lineRule="auto"/>
        <w:ind w:firstLine="482"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抽签程序结束后，抽取的号码记录不因投标人的质疑、投诉以及其它任何情形而改变。</w:t>
      </w:r>
    </w:p>
    <w:p w14:paraId="648E22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4" w:name="OLE_LINK201"/>
      <w:r>
        <w:rPr>
          <w:rFonts w:hint="eastAsia" w:ascii="宋体" w:hAnsi="宋体" w:cs="宋体"/>
          <w:color w:val="auto"/>
          <w:sz w:val="24"/>
          <w:szCs w:val="24"/>
          <w:highlight w:val="none"/>
        </w:rPr>
        <w:t>（</w:t>
      </w:r>
      <w:r>
        <w:rPr>
          <w:rFonts w:hint="eastAsia" w:ascii="宋体" w:hAnsi="宋体"/>
          <w:bCs/>
          <w:color w:val="auto"/>
          <w:sz w:val="24"/>
          <w:szCs w:val="24"/>
          <w:highlight w:val="none"/>
        </w:rPr>
        <w:t>20</w:t>
      </w:r>
      <w:r>
        <w:rPr>
          <w:rFonts w:hint="eastAsia" w:ascii="宋体" w:hAnsi="宋体"/>
          <w:bCs/>
          <w:color w:val="auto"/>
          <w:sz w:val="24"/>
          <w:highlight w:val="none"/>
        </w:rPr>
        <w:t>.5.2</w:t>
      </w:r>
      <w:r>
        <w:rPr>
          <w:rFonts w:hint="eastAsia" w:ascii="宋体" w:hAnsi="宋体" w:cs="宋体"/>
          <w:color w:val="auto"/>
          <w:sz w:val="24"/>
          <w:szCs w:val="24"/>
          <w:highlight w:val="none"/>
        </w:rPr>
        <w:t>）</w:t>
      </w:r>
      <w:bookmarkEnd w:id="64"/>
      <w:r>
        <w:rPr>
          <w:rFonts w:hint="eastAsia" w:ascii="宋体" w:hAnsi="宋体" w:cs="宋体"/>
          <w:color w:val="auto"/>
          <w:sz w:val="24"/>
          <w:szCs w:val="24"/>
          <w:highlight w:val="none"/>
        </w:rPr>
        <w:t>外，不对投标人的投标价格进行任何调整。</w:t>
      </w:r>
    </w:p>
    <w:p w14:paraId="4E1A4748">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.5.2投标文件报价出现前后不一致的，除招标文件另有规定外，按照下列规定修正：</w:t>
      </w:r>
    </w:p>
    <w:p w14:paraId="6CB21AED">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5ADBCEAF">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62807622">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15499B83">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7C6500E1">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14:paraId="4DCADA2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20.6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14:paraId="73CABB2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20.7 采购人或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7220067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21、定标</w:t>
      </w:r>
    </w:p>
    <w:p w14:paraId="6155D72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21.1 </w:t>
      </w:r>
      <w:r>
        <w:rPr>
          <w:rFonts w:hint="eastAsia" w:ascii="宋体" w:hAnsi="宋体"/>
          <w:bCs/>
          <w:color w:val="auto"/>
          <w:sz w:val="24"/>
          <w:szCs w:val="24"/>
          <w:highlight w:val="none"/>
          <w:lang w:val="zh-CN"/>
        </w:rPr>
        <w:t>评审结束后，采购人应当在收到评审报告后5个工作日内，在评审报告推荐的成交候选人中按顺序确定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2DFC317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21.2 </w:t>
      </w:r>
      <w:r>
        <w:rPr>
          <w:rFonts w:hint="eastAsia" w:ascii="宋体" w:hAnsi="宋体"/>
          <w:bCs/>
          <w:color w:val="auto"/>
          <w:sz w:val="24"/>
          <w:szCs w:val="24"/>
          <w:highlight w:val="none"/>
          <w:lang w:val="zh-CN"/>
        </w:rPr>
        <w:t>采购人和采购代理机构向</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供应商发出中标通知书。</w:t>
      </w:r>
    </w:p>
    <w:p w14:paraId="7B7FDD4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22、投标截止后投标人不足3家或者通过资格审查或符合性审查的投标人不足3家的，除采购任务取消情形外，按照以下方式处理：</w:t>
      </w:r>
    </w:p>
    <w:p w14:paraId="2033A7F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22.1招标文件存在不合理条款或者招标程序不符合规定的，采购人、采购代理机构改正后依法重新招标；</w:t>
      </w:r>
    </w:p>
    <w:p w14:paraId="7073F0D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22.2招标文件没有不合理条款、招标程序符合规定，采购人依法报监管部门批准后可以采用其他采购方式采购。</w:t>
      </w:r>
    </w:p>
    <w:p w14:paraId="643A6A7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23、废标的确认</w:t>
      </w:r>
    </w:p>
    <w:p w14:paraId="21EF89E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14:paraId="30C107E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23.1.1</w:t>
      </w: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0D10876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23.1.2</w:t>
      </w:r>
      <w:r>
        <w:rPr>
          <w:rFonts w:hint="eastAsia" w:ascii="宋体" w:hAnsi="宋体"/>
          <w:bCs/>
          <w:color w:val="auto"/>
          <w:sz w:val="24"/>
          <w:szCs w:val="24"/>
          <w:highlight w:val="none"/>
          <w:lang w:val="zh-CN"/>
        </w:rPr>
        <w:t>出现影响采购公正的违法、违规行为；</w:t>
      </w:r>
    </w:p>
    <w:p w14:paraId="48EBB74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23.1.3</w:t>
      </w:r>
      <w:r>
        <w:rPr>
          <w:rFonts w:hint="eastAsia" w:ascii="宋体" w:hAnsi="宋体"/>
          <w:bCs/>
          <w:color w:val="auto"/>
          <w:sz w:val="24"/>
          <w:szCs w:val="24"/>
          <w:highlight w:val="none"/>
          <w:lang w:val="zh-CN"/>
        </w:rPr>
        <w:t>投标人的报价均超过采购预算，采购人不能支付；</w:t>
      </w:r>
    </w:p>
    <w:p w14:paraId="412937D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23.1.4</w:t>
      </w:r>
      <w:r>
        <w:rPr>
          <w:rFonts w:hint="eastAsia" w:ascii="宋体" w:hAnsi="宋体"/>
          <w:bCs/>
          <w:color w:val="auto"/>
          <w:sz w:val="24"/>
          <w:szCs w:val="24"/>
          <w:highlight w:val="none"/>
          <w:lang w:val="zh-CN"/>
        </w:rPr>
        <w:t>因重大变故，采购任务取消。</w:t>
      </w:r>
    </w:p>
    <w:p w14:paraId="08119BF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4BF8DE6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1A50733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24.2招标活动结束后，中标供应商的投标保证金在合同签订后的</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个工作日内无息退还；中标通知书发出后</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个工作日内退还未中标供应商的投标保证金，不计利息。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lang w:eastAsia="zh-CN"/>
        </w:rPr>
        <w:t>宜兴市公用环保集团有限公司</w:t>
      </w:r>
      <w:r>
        <w:rPr>
          <w:rFonts w:hint="eastAsia" w:ascii="宋体" w:hAnsi="宋体"/>
          <w:bCs/>
          <w:color w:val="auto"/>
          <w:sz w:val="24"/>
          <w:szCs w:val="24"/>
          <w:highlight w:val="none"/>
          <w:lang w:val="zh-CN"/>
        </w:rPr>
        <w:t>联系办理退还事宜。</w:t>
      </w:r>
    </w:p>
    <w:p w14:paraId="507D286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24.3投标人</w:t>
      </w:r>
      <w:r>
        <w:rPr>
          <w:rFonts w:hint="eastAsia" w:ascii="宋体" w:hAnsi="宋体"/>
          <w:bCs/>
          <w:color w:val="auto"/>
          <w:sz w:val="24"/>
          <w:szCs w:val="24"/>
          <w:highlight w:val="none"/>
          <w:lang w:val="zh-CN"/>
        </w:rPr>
        <w:t>有下列情形之一的，其交纳的投标保证金不予退还：</w:t>
      </w:r>
    </w:p>
    <w:p w14:paraId="4E8285D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24.3.1</w:t>
      </w:r>
      <w:r>
        <w:rPr>
          <w:rFonts w:hint="eastAsia" w:ascii="宋体" w:hAnsi="宋体"/>
          <w:bCs/>
          <w:color w:val="auto"/>
          <w:sz w:val="24"/>
          <w:szCs w:val="24"/>
          <w:highlight w:val="none"/>
          <w:lang w:val="zh-CN"/>
        </w:rPr>
        <w:t>在提交投标文件截止时间后撤回投标文件的；</w:t>
      </w:r>
    </w:p>
    <w:p w14:paraId="371AD3D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24.3.2</w:t>
      </w:r>
      <w:r>
        <w:rPr>
          <w:rFonts w:hint="eastAsia" w:ascii="宋体" w:hAnsi="宋体"/>
          <w:bCs/>
          <w:color w:val="auto"/>
          <w:sz w:val="24"/>
          <w:szCs w:val="24"/>
          <w:highlight w:val="none"/>
          <w:lang w:val="zh-CN"/>
        </w:rPr>
        <w:t>在投标文件中提供虚假材料的；</w:t>
      </w:r>
    </w:p>
    <w:p w14:paraId="1C0A99E0">
      <w:pPr>
        <w:tabs>
          <w:tab w:val="left" w:pos="0"/>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24.3.3</w:t>
      </w: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供应商不与采购人签订合同的；</w:t>
      </w:r>
    </w:p>
    <w:p w14:paraId="45E69EAB">
      <w:pPr>
        <w:tabs>
          <w:tab w:val="left" w:pos="0"/>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24.3.4</w:t>
      </w:r>
      <w:r>
        <w:rPr>
          <w:rFonts w:hint="eastAsia" w:ascii="宋体" w:hAnsi="宋体"/>
          <w:bCs/>
          <w:color w:val="auto"/>
          <w:sz w:val="24"/>
          <w:szCs w:val="24"/>
          <w:highlight w:val="none"/>
          <w:lang w:val="zh-CN"/>
        </w:rPr>
        <w:t>与采购人、其他供应商或者采购代理机构恶意串通的；</w:t>
      </w:r>
    </w:p>
    <w:p w14:paraId="36B228F4">
      <w:pPr>
        <w:tabs>
          <w:tab w:val="left" w:pos="0"/>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24.3.5</w:t>
      </w:r>
      <w:r>
        <w:rPr>
          <w:rFonts w:hint="eastAsia" w:ascii="宋体" w:hAnsi="宋体"/>
          <w:bCs/>
          <w:color w:val="auto"/>
          <w:sz w:val="24"/>
          <w:szCs w:val="24"/>
          <w:highlight w:val="none"/>
          <w:lang w:val="zh-CN"/>
        </w:rPr>
        <w:t>招标文件规定的其他情形。</w:t>
      </w:r>
    </w:p>
    <w:p w14:paraId="51479E6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350BD42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25、签订合同</w:t>
      </w:r>
    </w:p>
    <w:p w14:paraId="34705CB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25.1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29D5E9FA">
      <w:pPr>
        <w:spacing w:line="360" w:lineRule="auto"/>
        <w:ind w:firstLine="480" w:firstLineChars="200"/>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 xml:space="preserve">25.2 </w:t>
      </w:r>
      <w:r>
        <w:rPr>
          <w:rFonts w:hint="eastAsia" w:ascii="宋体" w:hAnsi="宋体"/>
          <w:bCs/>
          <w:color w:val="auto"/>
          <w:sz w:val="24"/>
          <w:szCs w:val="24"/>
          <w:highlight w:val="none"/>
          <w:lang w:val="zh-CN"/>
        </w:rPr>
        <w:t>中标供应商应于</w:t>
      </w:r>
      <w:r>
        <w:rPr>
          <w:rFonts w:hint="eastAsia" w:ascii="宋体" w:hAnsi="宋体"/>
          <w:bCs/>
          <w:color w:val="auto"/>
          <w:sz w:val="24"/>
          <w:szCs w:val="24"/>
          <w:highlight w:val="none"/>
          <w:lang w:val="en-US" w:eastAsia="zh-CN"/>
        </w:rPr>
        <w:t>收到</w:t>
      </w:r>
      <w:r>
        <w:rPr>
          <w:rFonts w:hint="eastAsia" w:ascii="宋体" w:hAnsi="宋体"/>
          <w:bCs/>
          <w:color w:val="auto"/>
          <w:sz w:val="24"/>
          <w:szCs w:val="24"/>
          <w:highlight w:val="none"/>
          <w:lang w:val="zh-CN"/>
        </w:rPr>
        <w:t>中标通知书3</w:t>
      </w:r>
      <w:r>
        <w:rPr>
          <w:rFonts w:hint="eastAsia" w:ascii="宋体" w:hAnsi="宋体"/>
          <w:bCs/>
          <w:color w:val="auto"/>
          <w:sz w:val="24"/>
          <w:szCs w:val="24"/>
          <w:highlight w:val="none"/>
          <w:lang w:val="en-US" w:eastAsia="zh-CN"/>
        </w:rPr>
        <w:t>个工作</w:t>
      </w:r>
      <w:r>
        <w:rPr>
          <w:rFonts w:hint="eastAsia" w:ascii="宋体" w:hAnsi="宋体"/>
          <w:bCs/>
          <w:color w:val="auto"/>
          <w:sz w:val="24"/>
          <w:szCs w:val="24"/>
          <w:highlight w:val="none"/>
          <w:lang w:val="zh-CN"/>
        </w:rPr>
        <w:t>日内</w:t>
      </w:r>
      <w:r>
        <w:rPr>
          <w:rFonts w:hint="eastAsia" w:ascii="宋体" w:hAnsi="宋体"/>
          <w:bCs/>
          <w:color w:val="auto"/>
          <w:sz w:val="24"/>
          <w:szCs w:val="24"/>
          <w:highlight w:val="none"/>
          <w:lang w:val="en-US" w:eastAsia="zh-CN"/>
        </w:rPr>
        <w:t>须按照招标文件要求交纳履约保证金</w:t>
      </w: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若5个工作日内未交纳履约保证金，采购人可没收投标保证金；</w:t>
      </w:r>
    </w:p>
    <w:p w14:paraId="7FB95AA1">
      <w:pPr>
        <w:spacing w:line="360" w:lineRule="auto"/>
        <w:ind w:firstLine="480" w:firstLineChars="200"/>
        <w:rPr>
          <w:rFonts w:hint="eastAsia"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中标供应商应于</w:t>
      </w:r>
      <w:r>
        <w:rPr>
          <w:rFonts w:hint="eastAsia" w:ascii="宋体" w:hAnsi="宋体"/>
          <w:bCs/>
          <w:color w:val="auto"/>
          <w:sz w:val="24"/>
          <w:szCs w:val="24"/>
          <w:highlight w:val="none"/>
          <w:lang w:val="en-US" w:eastAsia="zh-CN"/>
        </w:rPr>
        <w:t>交纳完履约保证金3个工作日内完成合同编辑并寄出给采购人；若5个工作日内未寄出供应商签字敲章的合同，视为放弃中标，采购人可扣除供应商履约保证金。</w:t>
      </w:r>
    </w:p>
    <w:p w14:paraId="0FFF0BC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将依据有关规定进行处理。</w:t>
      </w:r>
    </w:p>
    <w:p w14:paraId="24BB63E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可延期签订合同。</w:t>
      </w:r>
    </w:p>
    <w:p w14:paraId="46DFC1E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25.3 </w:t>
      </w:r>
      <w:r>
        <w:rPr>
          <w:rFonts w:hint="eastAsia" w:ascii="宋体" w:hAnsi="宋体"/>
          <w:bCs/>
          <w:color w:val="auto"/>
          <w:sz w:val="24"/>
          <w:szCs w:val="24"/>
          <w:highlight w:val="none"/>
          <w:lang w:val="zh-CN"/>
        </w:rPr>
        <w:t>签订合同书及合同条款应以招标文件和中标供应商的投标文件为依据。</w:t>
      </w:r>
    </w:p>
    <w:p w14:paraId="0DFB325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w:t>
      </w:r>
      <w:r>
        <w:rPr>
          <w:rFonts w:hint="eastAsia" w:ascii="宋体" w:hAnsi="宋体"/>
          <w:bCs/>
          <w:color w:val="auto"/>
          <w:sz w:val="24"/>
          <w:szCs w:val="24"/>
          <w:highlight w:val="none"/>
          <w:lang w:val="zh-CN"/>
        </w:rPr>
        <w:t>.4 签订合同前，中标单位须支付</w:t>
      </w:r>
      <w:r>
        <w:rPr>
          <w:rFonts w:hint="eastAsia" w:ascii="宋体" w:hAnsi="宋体"/>
          <w:bCs/>
          <w:color w:val="auto"/>
          <w:sz w:val="24"/>
          <w:szCs w:val="24"/>
          <w:highlight w:val="none"/>
        </w:rPr>
        <w:t>中标合同金额的10%</w:t>
      </w:r>
      <w:r>
        <w:rPr>
          <w:rFonts w:hint="eastAsia" w:ascii="宋体" w:hAnsi="宋体"/>
          <w:bCs/>
          <w:color w:val="auto"/>
          <w:sz w:val="24"/>
          <w:szCs w:val="24"/>
          <w:highlight w:val="none"/>
          <w:lang w:val="zh-CN"/>
        </w:rPr>
        <w:t>履约保证金。</w: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455"/>
        <w:gridCol w:w="939"/>
        <w:gridCol w:w="3040"/>
      </w:tblGrid>
      <w:tr w14:paraId="5914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73C715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bookmarkStart w:id="65" w:name="OLE_LINK136"/>
            <w:r>
              <w:rPr>
                <w:rFonts w:hint="eastAsia"/>
                <w:color w:val="auto"/>
                <w:szCs w:val="21"/>
                <w:highlight w:val="none"/>
              </w:rPr>
              <w:t>交纳履约保证金账户名称</w:t>
            </w:r>
          </w:p>
        </w:tc>
        <w:tc>
          <w:tcPr>
            <w:tcW w:w="3455" w:type="dxa"/>
            <w:noWrap w:val="0"/>
            <w:vAlign w:val="center"/>
          </w:tcPr>
          <w:p w14:paraId="09B6B8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宋体" w:eastAsia="宋体" w:cs="Times New Roman"/>
                <w:bCs/>
                <w:color w:val="auto"/>
                <w:szCs w:val="21"/>
                <w:highlight w:val="none"/>
                <w:lang w:val="zh-CN" w:eastAsia="zh-CN"/>
              </w:rPr>
            </w:pPr>
            <w:r>
              <w:rPr>
                <w:rFonts w:hint="eastAsia" w:ascii="Times New Roman" w:hAnsi="宋体" w:eastAsia="宋体" w:cs="Times New Roman"/>
                <w:bCs/>
                <w:color w:val="auto"/>
                <w:szCs w:val="21"/>
                <w:highlight w:val="none"/>
                <w:lang w:val="en-US" w:eastAsia="zh-CN"/>
              </w:rPr>
              <w:t>江苏宜公投蓝藻资源开发有限公司</w:t>
            </w:r>
          </w:p>
        </w:tc>
        <w:tc>
          <w:tcPr>
            <w:tcW w:w="939" w:type="dxa"/>
            <w:vMerge w:val="restart"/>
            <w:noWrap w:val="0"/>
            <w:vAlign w:val="center"/>
          </w:tcPr>
          <w:p w14:paraId="462A72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r>
              <w:rPr>
                <w:rFonts w:hint="eastAsia" w:hAnsi="宋体"/>
                <w:bCs/>
                <w:color w:val="auto"/>
                <w:szCs w:val="21"/>
                <w:highlight w:val="none"/>
                <w:lang w:val="zh-CN"/>
              </w:rPr>
              <w:t>交纳</w:t>
            </w:r>
          </w:p>
          <w:p w14:paraId="05AB2D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r>
              <w:rPr>
                <w:rFonts w:hint="eastAsia" w:hAnsi="宋体"/>
                <w:bCs/>
                <w:color w:val="auto"/>
                <w:szCs w:val="21"/>
                <w:highlight w:val="none"/>
                <w:lang w:val="zh-CN"/>
              </w:rPr>
              <w:t>形式</w:t>
            </w:r>
          </w:p>
        </w:tc>
        <w:tc>
          <w:tcPr>
            <w:tcW w:w="3040" w:type="dxa"/>
            <w:vMerge w:val="restart"/>
            <w:noWrap w:val="0"/>
            <w:vAlign w:val="center"/>
          </w:tcPr>
          <w:p w14:paraId="4E7756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w:t>
            </w:r>
            <w:r>
              <w:rPr>
                <w:rFonts w:hint="eastAsia" w:ascii="宋体" w:hAnsi="宋体"/>
                <w:bCs/>
                <w:color w:val="auto"/>
                <w:szCs w:val="21"/>
                <w:highlight w:val="none"/>
              </w:rPr>
              <w:t>银行保函</w:t>
            </w:r>
            <w:r>
              <w:rPr>
                <w:rFonts w:hint="eastAsia" w:ascii="宋体" w:hAnsi="宋体"/>
                <w:bCs/>
                <w:color w:val="auto"/>
                <w:szCs w:val="21"/>
                <w:highlight w:val="none"/>
                <w:lang w:val="zh-CN"/>
              </w:rPr>
              <w:t>（不接受其他形式的履约保证金）</w:t>
            </w:r>
          </w:p>
        </w:tc>
      </w:tr>
      <w:tr w14:paraId="49B0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2F0022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r>
              <w:rPr>
                <w:rFonts w:hint="eastAsia" w:hAnsi="宋体"/>
                <w:bCs/>
                <w:color w:val="auto"/>
                <w:szCs w:val="21"/>
                <w:highlight w:val="none"/>
                <w:lang w:val="zh-CN"/>
              </w:rPr>
              <w:t>开户银行</w:t>
            </w:r>
          </w:p>
        </w:tc>
        <w:tc>
          <w:tcPr>
            <w:tcW w:w="3455" w:type="dxa"/>
            <w:noWrap w:val="0"/>
            <w:vAlign w:val="center"/>
          </w:tcPr>
          <w:p w14:paraId="33AA1A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宋体" w:eastAsia="宋体" w:cs="Times New Roman"/>
                <w:bCs/>
                <w:color w:val="auto"/>
                <w:szCs w:val="21"/>
                <w:highlight w:val="none"/>
                <w:lang w:val="zh-CN" w:eastAsia="zh-CN"/>
              </w:rPr>
            </w:pPr>
            <w:r>
              <w:rPr>
                <w:rFonts w:hint="eastAsia" w:ascii="Times New Roman" w:hAnsi="宋体" w:eastAsia="宋体" w:cs="Times New Roman"/>
                <w:bCs/>
                <w:color w:val="auto"/>
                <w:szCs w:val="21"/>
                <w:highlight w:val="none"/>
                <w:lang w:val="en-US" w:eastAsia="zh-CN"/>
              </w:rPr>
              <w:t>中国银行宜兴周铁支行</w:t>
            </w:r>
          </w:p>
        </w:tc>
        <w:tc>
          <w:tcPr>
            <w:tcW w:w="939" w:type="dxa"/>
            <w:vMerge w:val="continue"/>
            <w:noWrap w:val="0"/>
            <w:vAlign w:val="center"/>
          </w:tcPr>
          <w:p w14:paraId="6502DD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c>
          <w:tcPr>
            <w:tcW w:w="3040" w:type="dxa"/>
            <w:vMerge w:val="continue"/>
            <w:noWrap w:val="0"/>
            <w:vAlign w:val="center"/>
          </w:tcPr>
          <w:p w14:paraId="70C9CD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r>
      <w:tr w14:paraId="0633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6" w:type="dxa"/>
            <w:noWrap w:val="0"/>
            <w:vAlign w:val="center"/>
          </w:tcPr>
          <w:p w14:paraId="216FC2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r>
              <w:rPr>
                <w:rFonts w:hint="eastAsia" w:hAnsi="宋体"/>
                <w:bCs/>
                <w:color w:val="auto"/>
                <w:szCs w:val="21"/>
                <w:highlight w:val="none"/>
                <w:lang w:val="zh-CN"/>
              </w:rPr>
              <w:t>账</w:t>
            </w:r>
            <w:r>
              <w:rPr>
                <w:rFonts w:hint="eastAsia" w:hAnsi="宋体"/>
                <w:bCs/>
                <w:color w:val="auto"/>
                <w:szCs w:val="21"/>
                <w:highlight w:val="none"/>
              </w:rPr>
              <w:t xml:space="preserve"> </w:t>
            </w:r>
            <w:r>
              <w:rPr>
                <w:rFonts w:hint="eastAsia" w:hAnsi="宋体"/>
                <w:bCs/>
                <w:color w:val="auto"/>
                <w:szCs w:val="21"/>
                <w:highlight w:val="none"/>
                <w:lang w:val="zh-CN"/>
              </w:rPr>
              <w:t>号</w:t>
            </w:r>
          </w:p>
        </w:tc>
        <w:tc>
          <w:tcPr>
            <w:tcW w:w="3455" w:type="dxa"/>
            <w:noWrap w:val="0"/>
            <w:vAlign w:val="center"/>
          </w:tcPr>
          <w:p w14:paraId="6C8E85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宋体" w:eastAsia="宋体" w:cs="Times New Roman"/>
                <w:bCs/>
                <w:color w:val="auto"/>
                <w:szCs w:val="21"/>
                <w:highlight w:val="none"/>
                <w:lang w:val="zh-CN" w:eastAsia="zh-CN"/>
              </w:rPr>
            </w:pPr>
            <w:r>
              <w:rPr>
                <w:rFonts w:hint="eastAsia" w:ascii="Times New Roman" w:hAnsi="宋体" w:eastAsia="宋体" w:cs="Times New Roman"/>
                <w:bCs/>
                <w:color w:val="auto"/>
                <w:szCs w:val="21"/>
                <w:highlight w:val="none"/>
                <w:lang w:val="en-US" w:eastAsia="zh-CN"/>
              </w:rPr>
              <w:t>519674450517</w:t>
            </w:r>
          </w:p>
        </w:tc>
        <w:tc>
          <w:tcPr>
            <w:tcW w:w="939" w:type="dxa"/>
            <w:vMerge w:val="continue"/>
            <w:noWrap w:val="0"/>
            <w:vAlign w:val="center"/>
          </w:tcPr>
          <w:p w14:paraId="6DED60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c>
          <w:tcPr>
            <w:tcW w:w="3040" w:type="dxa"/>
            <w:vMerge w:val="continue"/>
            <w:noWrap w:val="0"/>
            <w:vAlign w:val="center"/>
          </w:tcPr>
          <w:p w14:paraId="1D420E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r>
      <w:bookmarkEnd w:id="65"/>
    </w:tbl>
    <w:p w14:paraId="0E39786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注：履约保证金于合同履约结束之日起三十个工作日内无息退还。若</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需提前一个月重新开具银行保函交至采购人，否则采购人将停付进度款。</w:t>
      </w:r>
    </w:p>
    <w:p w14:paraId="051D9A5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bookmarkStart w:id="66"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供应商拒绝与采购人签订合同，或因不可抗力或者自身原因不能履行采购合同的，须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r>
        <w:rPr>
          <w:rFonts w:hint="eastAsia" w:ascii="宋体" w:hAnsi="宋体"/>
          <w:bCs/>
          <w:color w:val="auto"/>
          <w:sz w:val="24"/>
          <w:szCs w:val="24"/>
          <w:highlight w:val="none"/>
          <w:lang w:eastAsia="zh-CN"/>
        </w:rPr>
        <w:t>宜兴市公用环保集团有限公司</w:t>
      </w:r>
      <w:r>
        <w:rPr>
          <w:rFonts w:hint="eastAsia" w:ascii="宋体" w:hAnsi="宋体"/>
          <w:bCs/>
          <w:color w:val="auto"/>
          <w:sz w:val="24"/>
          <w:szCs w:val="24"/>
          <w:highlight w:val="none"/>
        </w:rPr>
        <w:t>及其所有下属子公司的</w:t>
      </w:r>
      <w:r>
        <w:rPr>
          <w:rFonts w:ascii="宋体" w:hAnsi="宋体"/>
          <w:bCs/>
          <w:color w:val="auto"/>
          <w:sz w:val="24"/>
          <w:szCs w:val="24"/>
          <w:highlight w:val="none"/>
          <w:lang w:val="zh-CN"/>
        </w:rPr>
        <w:t>采购活动</w:t>
      </w:r>
      <w:bookmarkStart w:id="67" w:name="OLE_LINK2"/>
      <w:r>
        <w:rPr>
          <w:rFonts w:hint="eastAsia" w:ascii="宋体" w:hAnsi="宋体"/>
          <w:bCs/>
          <w:color w:val="auto"/>
          <w:sz w:val="24"/>
          <w:szCs w:val="24"/>
          <w:highlight w:val="none"/>
          <w:lang w:val="zh-CN"/>
        </w:rPr>
        <w:t>。</w:t>
      </w:r>
      <w:bookmarkEnd w:id="66"/>
      <w:bookmarkEnd w:id="67"/>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3DBF251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14:paraId="6E19587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604E7E1A">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4723AB7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26、投标行为：</w:t>
      </w:r>
    </w:p>
    <w:p w14:paraId="56BE4BA9">
      <w:pPr>
        <w:spacing w:line="360" w:lineRule="auto"/>
        <w:ind w:firstLine="480" w:firstLineChars="200"/>
        <w:rPr>
          <w:rFonts w:hint="eastAsia" w:ascii="宋体" w:hAnsi="宋体"/>
          <w:bCs/>
          <w:color w:val="auto"/>
          <w:sz w:val="24"/>
          <w:szCs w:val="24"/>
          <w:highlight w:val="none"/>
          <w:lang w:val="zh-CN"/>
        </w:rPr>
      </w:pPr>
      <w:bookmarkStart w:id="68" w:name="OLE_LINK184"/>
      <w:r>
        <w:rPr>
          <w:rFonts w:hint="eastAsia" w:ascii="宋体" w:hAnsi="宋体"/>
          <w:bCs/>
          <w:color w:val="auto"/>
          <w:sz w:val="24"/>
          <w:szCs w:val="24"/>
          <w:highlight w:val="none"/>
        </w:rPr>
        <w:t>26.1</w:t>
      </w:r>
      <w:r>
        <w:rPr>
          <w:rFonts w:hint="eastAsia" w:ascii="宋体" w:hAnsi="宋体"/>
          <w:bCs/>
          <w:color w:val="auto"/>
          <w:sz w:val="24"/>
          <w:szCs w:val="24"/>
          <w:highlight w:val="none"/>
          <w:lang w:val="zh-CN"/>
        </w:rPr>
        <w:t>投标人的投标行为必须遵守各项法律、法规、规章及相关制度的规定。</w:t>
      </w:r>
    </w:p>
    <w:p w14:paraId="39A1AB7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26.2</w:t>
      </w:r>
      <w:r>
        <w:rPr>
          <w:rFonts w:hint="eastAsia" w:ascii="宋体" w:hAnsi="宋体"/>
          <w:bCs/>
          <w:color w:val="auto"/>
          <w:sz w:val="24"/>
          <w:szCs w:val="24"/>
          <w:highlight w:val="none"/>
          <w:lang w:val="zh-CN"/>
        </w:rPr>
        <w:t>投标服务及产品、产品安装（施工）等应符合国家、行业等相关标准及要求。</w:t>
      </w:r>
    </w:p>
    <w:p w14:paraId="510775D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26.3</w:t>
      </w: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1131922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26.4</w:t>
      </w: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7A758DE4">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469DCED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w:t>
      </w:r>
      <w:bookmarkEnd w:id="68"/>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。由采购人对中标供应商进行履约管理，并及时向中标供应商支付采购资金。</w:t>
      </w:r>
    </w:p>
    <w:p w14:paraId="5E8E6748">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5CCA7AB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28、询问</w:t>
      </w:r>
    </w:p>
    <w:p w14:paraId="10101A71">
      <w:pPr>
        <w:spacing w:line="360" w:lineRule="auto"/>
        <w:ind w:firstLine="480" w:firstLineChars="200"/>
        <w:rPr>
          <w:rFonts w:hint="eastAsia" w:ascii="宋体" w:hAnsi="宋体"/>
          <w:bCs/>
          <w:color w:val="auto"/>
          <w:sz w:val="24"/>
          <w:szCs w:val="24"/>
          <w:highlight w:val="none"/>
          <w:lang w:val="zh-CN"/>
        </w:rPr>
      </w:pPr>
      <w:bookmarkStart w:id="69" w:name="OLE_LINK22"/>
      <w:r>
        <w:rPr>
          <w:rFonts w:hint="eastAsia" w:ascii="宋体" w:hAnsi="宋体"/>
          <w:bCs/>
          <w:color w:val="auto"/>
          <w:sz w:val="24"/>
          <w:szCs w:val="24"/>
          <w:highlight w:val="none"/>
          <w:lang w:val="zh-CN"/>
        </w:rPr>
        <w:t>投标人对采购活动事项有疑问的，可以向</w:t>
      </w:r>
      <w:bookmarkStart w:id="70" w:name="OLE_LINK24"/>
      <w:r>
        <w:rPr>
          <w:rFonts w:hint="eastAsia" w:ascii="宋体" w:hAnsi="宋体"/>
          <w:bCs/>
          <w:color w:val="auto"/>
          <w:sz w:val="24"/>
          <w:szCs w:val="24"/>
          <w:highlight w:val="none"/>
          <w:lang w:val="zh-CN"/>
        </w:rPr>
        <w:t>采购人</w:t>
      </w:r>
      <w:bookmarkEnd w:id="70"/>
      <w:r>
        <w:rPr>
          <w:rFonts w:hint="eastAsia" w:ascii="宋体" w:hAnsi="宋体"/>
          <w:bCs/>
          <w:color w:val="auto"/>
          <w:sz w:val="24"/>
          <w:szCs w:val="24"/>
          <w:highlight w:val="none"/>
          <w:lang w:val="zh-CN"/>
        </w:rPr>
        <w:t>提出询问，采购人将在</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个工作日内作出答复，但答复的内容不得涉及商业秘密；投标人也可以向采购人委托的代理机构提出询问，代理机构就采购人委托授权范围内的事项作出答复。</w:t>
      </w:r>
      <w:bookmarkEnd w:id="69"/>
    </w:p>
    <w:p w14:paraId="6CDE1A0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29、质疑</w:t>
      </w:r>
    </w:p>
    <w:p w14:paraId="16ADD53F">
      <w:pPr>
        <w:spacing w:line="360" w:lineRule="auto"/>
        <w:ind w:firstLine="480" w:firstLineChars="200"/>
        <w:rPr>
          <w:rFonts w:hint="eastAsia" w:ascii="宋体" w:hAnsi="宋体"/>
          <w:b/>
          <w:color w:val="auto"/>
          <w:sz w:val="24"/>
          <w:szCs w:val="24"/>
          <w:highlight w:val="none"/>
          <w:lang w:val="zh-CN"/>
        </w:rPr>
      </w:pPr>
      <w:bookmarkStart w:id="71" w:name="OLE_LINK23"/>
      <w:bookmarkStart w:id="72" w:name="OLE_LINK142"/>
      <w:r>
        <w:rPr>
          <w:rFonts w:hint="eastAsia" w:ascii="宋体" w:hAnsi="宋体"/>
          <w:bCs/>
          <w:color w:val="auto"/>
          <w:sz w:val="24"/>
          <w:szCs w:val="24"/>
          <w:highlight w:val="none"/>
        </w:rPr>
        <w:t xml:space="preserve">29.1 </w:t>
      </w:r>
      <w:bookmarkStart w:id="73" w:name="OLE_LINK139"/>
      <w:r>
        <w:rPr>
          <w:rFonts w:hint="eastAsia" w:ascii="宋体" w:hAnsi="宋体"/>
          <w:bCs/>
          <w:color w:val="auto"/>
          <w:sz w:val="24"/>
          <w:szCs w:val="24"/>
          <w:highlight w:val="none"/>
          <w:lang w:val="zh-CN"/>
        </w:rPr>
        <w:t>质疑必须符合《中华人民共和国政府采购法》、《中华人民共和国政府采购法实施条例》、《江苏省政府采购供应商监督管理暂行办法》中“质疑”相关内容要求。“宜兴市政府采购质疑书”格式内容，可在“ 宜兴市公共资源交易中心”</w:t>
      </w:r>
      <w:r>
        <w:rPr>
          <w:rFonts w:hint="eastAsia" w:ascii="宋体" w:hAnsi="宋体"/>
          <w:bCs/>
          <w:color w:val="auto"/>
          <w:sz w:val="24"/>
          <w:szCs w:val="24"/>
          <w:highlight w:val="none"/>
        </w:rPr>
        <w:t>网站</w:t>
      </w:r>
      <w:r>
        <w:rPr>
          <w:rFonts w:hint="eastAsia" w:ascii="宋体" w:hAnsi="宋体"/>
          <w:bCs/>
          <w:color w:val="auto"/>
          <w:sz w:val="24"/>
          <w:szCs w:val="24"/>
          <w:highlight w:val="none"/>
          <w:lang w:val="zh-CN"/>
        </w:rPr>
        <w:t>“下载中心”栏自行下载。</w:t>
      </w:r>
      <w:bookmarkEnd w:id="73"/>
    </w:p>
    <w:p w14:paraId="1ED39EA6">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29.2</w:t>
      </w:r>
      <w:r>
        <w:rPr>
          <w:rFonts w:hint="eastAsia" w:ascii="宋体" w:hAnsi="宋体"/>
          <w:b/>
          <w:color w:val="auto"/>
          <w:sz w:val="24"/>
          <w:szCs w:val="24"/>
          <w:highlight w:val="none"/>
          <w:lang w:val="zh-CN"/>
        </w:rPr>
        <w:t>质疑答复责任主体：</w:t>
      </w:r>
    </w:p>
    <w:p w14:paraId="3BD5CCD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29.2.1</w:t>
      </w:r>
      <w:r>
        <w:rPr>
          <w:rFonts w:hint="eastAsia" w:ascii="宋体" w:hAnsi="宋体"/>
          <w:bCs/>
          <w:color w:val="auto"/>
          <w:sz w:val="24"/>
          <w:szCs w:val="24"/>
          <w:highlight w:val="none"/>
          <w:lang w:val="zh-CN"/>
        </w:rPr>
        <w:t>根据《中华人民共和国政府采购法》</w:t>
      </w:r>
      <w:r>
        <w:rPr>
          <w:rFonts w:hint="eastAsia" w:ascii="宋体" w:hAnsi="宋体"/>
          <w:bCs/>
          <w:color w:val="auto"/>
          <w:sz w:val="24"/>
          <w:szCs w:val="24"/>
          <w:highlight w:val="none"/>
        </w:rPr>
        <w:t>五十一条、五十二条、五十三条规定，</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认为</w:t>
      </w:r>
      <w:r>
        <w:rPr>
          <w:rFonts w:ascii="宋体" w:hAnsi="宋体"/>
          <w:b/>
          <w:color w:val="auto"/>
          <w:sz w:val="24"/>
          <w:szCs w:val="24"/>
          <w:highlight w:val="none"/>
          <w:lang w:val="zh-CN"/>
        </w:rPr>
        <w:t>采购文件、采购过程和</w:t>
      </w:r>
      <w:r>
        <w:rPr>
          <w:rFonts w:hint="eastAsia" w:ascii="宋体" w:hAnsi="宋体"/>
          <w:b/>
          <w:color w:val="auto"/>
          <w:sz w:val="24"/>
          <w:szCs w:val="24"/>
          <w:highlight w:val="none"/>
          <w:lang w:val="zh-CN"/>
        </w:rPr>
        <w:t>中标</w:t>
      </w:r>
      <w:r>
        <w:rPr>
          <w:rFonts w:ascii="宋体" w:hAnsi="宋体"/>
          <w:b/>
          <w:color w:val="auto"/>
          <w:sz w:val="24"/>
          <w:szCs w:val="24"/>
          <w:highlight w:val="none"/>
          <w:lang w:val="zh-CN"/>
        </w:rPr>
        <w:t>结果</w:t>
      </w:r>
      <w:r>
        <w:rPr>
          <w:rFonts w:ascii="宋体" w:hAnsi="宋体"/>
          <w:bCs/>
          <w:color w:val="auto"/>
          <w:sz w:val="24"/>
          <w:szCs w:val="24"/>
          <w:highlight w:val="none"/>
          <w:lang w:val="zh-CN"/>
        </w:rPr>
        <w:t>使自己的权益受到损害的，</w:t>
      </w:r>
      <w:r>
        <w:rPr>
          <w:rFonts w:hint="eastAsia" w:ascii="宋体" w:hAnsi="宋体"/>
          <w:bCs/>
          <w:color w:val="auto"/>
          <w:sz w:val="24"/>
          <w:szCs w:val="24"/>
          <w:highlight w:val="none"/>
          <w:lang w:val="zh-CN"/>
        </w:rPr>
        <w:t>可以在知道或者应当知道其权益受到损害之日起七个工作日内，</w:t>
      </w:r>
      <w:r>
        <w:rPr>
          <w:rFonts w:ascii="宋体" w:hAnsi="宋体"/>
          <w:bCs/>
          <w:color w:val="auto"/>
          <w:sz w:val="24"/>
          <w:szCs w:val="24"/>
          <w:highlight w:val="none"/>
          <w:lang w:val="zh-CN"/>
        </w:rPr>
        <w:t>以书面形式向采购人提出质疑。</w:t>
      </w:r>
    </w:p>
    <w:p w14:paraId="16CDF44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29.2.2</w:t>
      </w:r>
      <w:r>
        <w:rPr>
          <w:rFonts w:hint="eastAsia" w:ascii="宋体" w:hAnsi="宋体"/>
          <w:bCs/>
          <w:color w:val="auto"/>
          <w:sz w:val="24"/>
          <w:szCs w:val="24"/>
          <w:highlight w:val="none"/>
          <w:lang w:val="zh-CN"/>
        </w:rPr>
        <w:t>投标人认为</w:t>
      </w:r>
      <w:r>
        <w:rPr>
          <w:rFonts w:hint="eastAsia" w:ascii="宋体" w:hAnsi="宋体"/>
          <w:b/>
          <w:color w:val="auto"/>
          <w:sz w:val="24"/>
          <w:szCs w:val="24"/>
          <w:highlight w:val="none"/>
          <w:lang w:val="zh-CN"/>
        </w:rPr>
        <w:t>采购程序及流程操作</w:t>
      </w:r>
      <w:r>
        <w:rPr>
          <w:rFonts w:hint="eastAsia" w:ascii="宋体" w:hAnsi="宋体"/>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71"/>
    </w:p>
    <w:p w14:paraId="5232ACC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29.3 </w:t>
      </w:r>
      <w:bookmarkStart w:id="74" w:name="OLE_LINK141"/>
      <w:r>
        <w:rPr>
          <w:rFonts w:hint="eastAsia" w:ascii="宋体" w:hAnsi="宋体"/>
          <w:b/>
          <w:color w:val="auto"/>
          <w:sz w:val="24"/>
          <w:szCs w:val="24"/>
          <w:highlight w:val="none"/>
        </w:rPr>
        <w:t>质疑时效期间的起算</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74"/>
    </w:p>
    <w:p w14:paraId="049C61F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29.4 </w:t>
      </w:r>
      <w:r>
        <w:rPr>
          <w:rFonts w:hint="eastAsia" w:ascii="宋体" w:hAnsi="宋体"/>
          <w:bCs/>
          <w:color w:val="auto"/>
          <w:sz w:val="24"/>
          <w:szCs w:val="24"/>
          <w:highlight w:val="none"/>
          <w:lang w:val="zh-CN"/>
        </w:rPr>
        <w:t>对符合法定质疑条件的质疑，被质疑人在受理后的七个工作日内进行书面答复。</w:t>
      </w:r>
    </w:p>
    <w:p w14:paraId="50ECE61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29.5 </w:t>
      </w:r>
      <w:r>
        <w:rPr>
          <w:rFonts w:hint="eastAsia" w:ascii="宋体" w:hAnsi="宋体"/>
          <w:bCs/>
          <w:color w:val="auto"/>
          <w:sz w:val="24"/>
          <w:szCs w:val="24"/>
          <w:highlight w:val="none"/>
          <w:lang w:val="zh-CN"/>
        </w:rPr>
        <w:t>恶意质疑或提交虚假质疑一经查实，被质疑人有权依据政府采购法的有关规定，报请采购监管部门对该质疑人进行相应处罚。</w:t>
      </w:r>
    </w:p>
    <w:bookmarkEnd w:id="72"/>
    <w:p w14:paraId="40076F52">
      <w:pPr>
        <w:spacing w:line="360" w:lineRule="auto"/>
        <w:ind w:firstLine="482" w:firstLineChars="200"/>
        <w:rPr>
          <w:rFonts w:hint="eastAsia" w:ascii="宋体" w:hAnsi="宋体"/>
          <w:b/>
          <w:color w:val="auto"/>
          <w:sz w:val="24"/>
          <w:szCs w:val="24"/>
          <w:highlight w:val="none"/>
          <w:lang w:val="zh-CN"/>
        </w:rPr>
      </w:pPr>
      <w:bookmarkStart w:id="75" w:name="_Toc23122"/>
      <w:r>
        <w:rPr>
          <w:rFonts w:hint="eastAsia" w:ascii="宋体" w:hAnsi="宋体"/>
          <w:b/>
          <w:color w:val="auto"/>
          <w:sz w:val="24"/>
          <w:szCs w:val="24"/>
          <w:highlight w:val="none"/>
        </w:rPr>
        <w:t>30、 投诉</w:t>
      </w:r>
    </w:p>
    <w:p w14:paraId="6BB07340">
      <w:pPr>
        <w:spacing w:line="360" w:lineRule="auto"/>
        <w:ind w:firstLine="480" w:firstLineChars="200"/>
        <w:jc w:val="left"/>
        <w:rPr>
          <w:rFonts w:hint="eastAsia" w:ascii="宋体" w:hAnsi="宋体"/>
          <w:bCs/>
          <w:color w:val="auto"/>
          <w:sz w:val="24"/>
          <w:szCs w:val="24"/>
          <w:highlight w:val="none"/>
          <w:lang w:val="zh-CN"/>
        </w:rPr>
      </w:pPr>
      <w:r>
        <w:rPr>
          <w:rFonts w:hint="eastAsia" w:ascii="宋体" w:hAnsi="宋体"/>
          <w:bCs/>
          <w:color w:val="auto"/>
          <w:sz w:val="24"/>
          <w:szCs w:val="24"/>
          <w:highlight w:val="none"/>
        </w:rPr>
        <w:t>30.1</w:t>
      </w:r>
      <w:r>
        <w:rPr>
          <w:rFonts w:ascii="宋体" w:hAnsi="宋体"/>
          <w:bCs/>
          <w:color w:val="auto"/>
          <w:sz w:val="24"/>
          <w:szCs w:val="24"/>
          <w:highlight w:val="none"/>
          <w:lang w:val="zh-CN"/>
        </w:rPr>
        <w:t>质疑供应商对采购人的答复不满意或者采购人未在规定的时间内作出答复的，可以在答复期满后十五个工作日内</w:t>
      </w:r>
      <w:r>
        <w:rPr>
          <w:rFonts w:hint="eastAsia" w:ascii="宋体" w:hAnsi="宋体"/>
          <w:bCs/>
          <w:color w:val="auto"/>
          <w:sz w:val="24"/>
          <w:szCs w:val="24"/>
          <w:highlight w:val="none"/>
          <w:lang w:val="zh-CN"/>
        </w:rPr>
        <w:t>向本招标文件第一章投标邀请函中的</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提出投诉。</w:t>
      </w:r>
      <w:bookmarkEnd w:id="75"/>
      <w:bookmarkStart w:id="76" w:name="_Toc30976"/>
      <w:bookmarkStart w:id="77" w:name="_Toc25105"/>
    </w:p>
    <w:p w14:paraId="7590AFF1">
      <w:pPr>
        <w:spacing w:line="360" w:lineRule="auto"/>
        <w:ind w:firstLine="2520" w:firstLineChars="900"/>
        <w:jc w:val="left"/>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br w:type="page"/>
      </w:r>
      <w:bookmarkEnd w:id="76"/>
      <w:bookmarkEnd w:id="77"/>
      <w:bookmarkStart w:id="78" w:name="_Toc3082"/>
      <w:bookmarkStart w:id="79" w:name="_Toc25967"/>
      <w:r>
        <w:rPr>
          <w:rFonts w:hint="eastAsia" w:ascii="黑体" w:hAnsi="黑体" w:eastAsia="黑体" w:cs="黑体"/>
          <w:bCs/>
          <w:color w:val="auto"/>
          <w:sz w:val="28"/>
          <w:szCs w:val="28"/>
          <w:highlight w:val="none"/>
        </w:rPr>
        <w:t>第三章 项目技术要求和有关说明</w:t>
      </w:r>
    </w:p>
    <w:p w14:paraId="0D71DE84">
      <w:pPr>
        <w:pageBreakBefore w:val="0"/>
        <w:widowControl w:val="0"/>
        <w:kinsoku/>
        <w:wordWrap/>
        <w:overflowPunct/>
        <w:topLinePunct w:val="0"/>
        <w:bidi w:val="0"/>
        <w:snapToGrid w:val="0"/>
        <w:spacing w:line="360" w:lineRule="auto"/>
        <w:ind w:firstLine="424" w:firstLineChars="17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本项目为江苏宜公投蓝藻资源开发有限公司</w:t>
      </w:r>
      <w:r>
        <w:rPr>
          <w:rFonts w:hint="eastAsia" w:ascii="宋体" w:hAnsi="宋体" w:cs="宋体"/>
          <w:color w:val="auto"/>
          <w:sz w:val="24"/>
          <w:szCs w:val="24"/>
          <w:highlight w:val="none"/>
          <w:lang w:val="en-US" w:eastAsia="zh-CN"/>
        </w:rPr>
        <w:t>宜兴市离岸水域深井控藻工程不可避让论证服务项目</w:t>
      </w:r>
      <w:r>
        <w:rPr>
          <w:rFonts w:hint="eastAsia" w:ascii="宋体" w:hAnsi="宋体" w:eastAsia="宋体" w:cs="宋体"/>
          <w:color w:val="auto"/>
          <w:sz w:val="24"/>
          <w:szCs w:val="24"/>
          <w:highlight w:val="none"/>
          <w:lang w:val="en-US" w:eastAsia="zh-CN"/>
        </w:rPr>
        <w:t>采购。具体要求如下，投标人须提供满足以下要求的服务，不得有负偏离。</w:t>
      </w:r>
    </w:p>
    <w:p w14:paraId="3B8583A0">
      <w:pPr>
        <w:keepNext/>
        <w:keepLines/>
        <w:pageBreakBefore w:val="0"/>
        <w:widowControl w:val="0"/>
        <w:numPr>
          <w:ilvl w:val="0"/>
          <w:numId w:val="0"/>
        </w:numPr>
        <w:kinsoku/>
        <w:wordWrap/>
        <w:overflowPunct/>
        <w:topLinePunct w:val="0"/>
        <w:bidi w:val="0"/>
        <w:snapToGrid w:val="0"/>
        <w:spacing w:before="0" w:after="0" w:line="360" w:lineRule="auto"/>
        <w:ind w:left="510" w:leftChars="0" w:hanging="510" w:firstLineChars="0"/>
        <w:jc w:val="both"/>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w:t>
      </w:r>
      <w:r>
        <w:rPr>
          <w:rFonts w:hint="default"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工程概况</w:t>
      </w:r>
    </w:p>
    <w:p w14:paraId="7DBB636F">
      <w:pPr>
        <w:pageBreakBefore w:val="0"/>
        <w:kinsoku/>
        <w:overflowPunct/>
        <w:topLinePunct w:val="0"/>
        <w:bidi w:val="0"/>
        <w:snapToGrid w:val="0"/>
        <w:spacing w:line="360" w:lineRule="auto"/>
        <w:ind w:firstLine="480" w:firstLineChars="200"/>
        <w:rPr>
          <w:color w:val="auto"/>
          <w:sz w:val="24"/>
          <w:szCs w:val="24"/>
          <w:highlight w:val="none"/>
        </w:rPr>
      </w:pPr>
      <w:r>
        <w:rPr>
          <w:rFonts w:hint="eastAsia" w:ascii="Times New Roman" w:hAnsi="Times New Roman" w:eastAsia="宋体" w:cs="Times New Roman"/>
          <w:color w:val="auto"/>
          <w:sz w:val="24"/>
          <w:highlight w:val="none"/>
          <w:lang w:val="en-US" w:eastAsia="zh-CN"/>
        </w:rPr>
        <w:t>本工程新建蓝藻围隔9km，同步建设3座深潜式高压控藻深井和2座大通量活水抑藻推流器。工程总体平面布置图如下：</w:t>
      </w:r>
    </w:p>
    <w:p w14:paraId="50C2CA2B">
      <w:pPr>
        <w:pageBreakBefore w:val="0"/>
        <w:kinsoku/>
        <w:overflowPunct/>
        <w:topLinePunct w:val="0"/>
        <w:bidi w:val="0"/>
        <w:snapToGrid w:val="0"/>
        <w:spacing w:line="360" w:lineRule="auto"/>
        <w:jc w:val="center"/>
        <w:rPr>
          <w:color w:val="auto"/>
          <w:sz w:val="24"/>
          <w:szCs w:val="24"/>
          <w:highlight w:val="none"/>
        </w:rPr>
      </w:pPr>
      <w:r>
        <w:rPr>
          <w:color w:val="auto"/>
          <w:sz w:val="24"/>
          <w:szCs w:val="24"/>
          <w:highlight w:val="none"/>
        </w:rPr>
        <w:drawing>
          <wp:inline distT="0" distB="0" distL="114300" distR="114300">
            <wp:extent cx="3249930" cy="4255135"/>
            <wp:effectExtent l="9525" t="9525" r="17145" b="215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3249930" cy="4255135"/>
                    </a:xfrm>
                    <a:prstGeom prst="rect">
                      <a:avLst/>
                    </a:prstGeom>
                    <a:noFill/>
                    <a:ln w="6350" cap="flat" cmpd="sng">
                      <a:solidFill>
                        <a:srgbClr val="000000"/>
                      </a:solidFill>
                      <a:prstDash val="solid"/>
                      <a:round/>
                      <a:headEnd type="none" w="med" len="med"/>
                      <a:tailEnd type="none" w="med" len="med"/>
                    </a:ln>
                  </pic:spPr>
                </pic:pic>
              </a:graphicData>
            </a:graphic>
          </wp:inline>
        </w:drawing>
      </w:r>
    </w:p>
    <w:p w14:paraId="246B146A">
      <w:pPr>
        <w:pageBreakBefore w:val="0"/>
        <w:kinsoku/>
        <w:overflowPunct/>
        <w:topLinePunct w:val="0"/>
        <w:bidi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通过收集资料和踏勘现场等调查成果手段，判断建设项目涉及生态红线类型和面积，评估涉及生态红线生态功能，分析建设项目涉及生态红线类型和符合规划情况，编制并上报不可避让论证报告。根据各层级审查意见，修改完善论证报告，确保成果资料符合国家现行相关技术规范、标准及规程要求，并通过相关部门论证及相关部门的审批流程，并协助采购人通过主管部门的审批，获得批复意见。</w:t>
      </w:r>
    </w:p>
    <w:p w14:paraId="1393E8D9">
      <w:pPr>
        <w:pageBreakBefore w:val="0"/>
        <w:numPr>
          <w:ilvl w:val="0"/>
          <w:numId w:val="0"/>
        </w:numPr>
        <w:kinsoku/>
        <w:overflowPunct/>
        <w:topLinePunct w:val="0"/>
        <w:bidi w:val="0"/>
        <w:snapToGrid w:val="0"/>
        <w:spacing w:line="360" w:lineRule="auto"/>
        <w:rPr>
          <w:rFonts w:hint="default"/>
          <w:color w:val="auto"/>
          <w:highlight w:val="none"/>
          <w:lang w:val="en-US" w:eastAsia="zh-CN"/>
        </w:rPr>
      </w:pPr>
    </w:p>
    <w:p w14:paraId="33EE1EDB">
      <w:pPr>
        <w:pageBreakBefore w:val="0"/>
        <w:widowControl w:val="0"/>
        <w:kinsoku/>
        <w:wordWrap/>
        <w:overflowPunct/>
        <w:topLinePunct w:val="0"/>
        <w:bidi w:val="0"/>
        <w:snapToGrid w:val="0"/>
        <w:spacing w:line="360" w:lineRule="auto"/>
        <w:ind w:firstLine="424" w:firstLineChars="177"/>
        <w:rPr>
          <w:rFonts w:hint="eastAsia" w:ascii="宋体" w:hAnsi="宋体" w:eastAsia="宋体" w:cs="宋体"/>
          <w:color w:val="auto"/>
          <w:sz w:val="24"/>
          <w:szCs w:val="24"/>
          <w:highlight w:val="none"/>
          <w:lang w:eastAsia="zh-CN"/>
        </w:rPr>
      </w:pPr>
    </w:p>
    <w:p w14:paraId="7F68152B">
      <w:pPr>
        <w:pageBreakBefore w:val="0"/>
        <w:widowControl w:val="0"/>
        <w:kinsoku/>
        <w:wordWrap/>
        <w:overflowPunct/>
        <w:topLinePunct w:val="0"/>
        <w:bidi w:val="0"/>
        <w:snapToGrid w:val="0"/>
        <w:spacing w:line="360" w:lineRule="auto"/>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、服务内容</w:t>
      </w:r>
    </w:p>
    <w:p w14:paraId="324866E5">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根据文件要求，编制不可避让论证报告，内容包括：项目概况、工程任务、工程建设内容、项目建设报批情况、与主体功能区的相符性、与区域水功能区划和生态环境功能区划的相符性、项目占用生态管控区</w:t>
      </w:r>
      <w:r>
        <w:rPr>
          <w:rFonts w:hint="eastAsia" w:ascii="宋体" w:hAnsi="宋体" w:cs="宋体"/>
          <w:color w:val="auto"/>
          <w:sz w:val="24"/>
          <w:szCs w:val="28"/>
          <w:highlight w:val="none"/>
          <w:lang w:val="en-US" w:eastAsia="zh-CN"/>
        </w:rPr>
        <w:t>或</w:t>
      </w:r>
      <w:r>
        <w:rPr>
          <w:rFonts w:hint="eastAsia"/>
          <w:color w:val="auto"/>
          <w:sz w:val="24"/>
          <w:szCs w:val="24"/>
          <w:highlight w:val="none"/>
        </w:rPr>
        <w:t>生态红线</w:t>
      </w:r>
      <w:r>
        <w:rPr>
          <w:rFonts w:hint="eastAsia"/>
          <w:color w:val="auto"/>
          <w:sz w:val="24"/>
          <w:szCs w:val="24"/>
          <w:highlight w:val="none"/>
          <w:lang w:val="en-US" w:eastAsia="zh-CN"/>
        </w:rPr>
        <w:t>的</w:t>
      </w:r>
      <w:r>
        <w:rPr>
          <w:rFonts w:hint="eastAsia" w:ascii="宋体" w:hAnsi="宋体" w:eastAsia="宋体" w:cs="宋体"/>
          <w:color w:val="auto"/>
          <w:sz w:val="24"/>
          <w:szCs w:val="28"/>
          <w:highlight w:val="none"/>
        </w:rPr>
        <w:t>基本情况、占用生态管控区</w:t>
      </w:r>
      <w:r>
        <w:rPr>
          <w:rFonts w:hint="eastAsia" w:ascii="宋体" w:hAnsi="宋体" w:cs="宋体"/>
          <w:color w:val="auto"/>
          <w:sz w:val="24"/>
          <w:szCs w:val="28"/>
          <w:highlight w:val="none"/>
          <w:lang w:val="en-US" w:eastAsia="zh-CN"/>
        </w:rPr>
        <w:t>或</w:t>
      </w:r>
      <w:r>
        <w:rPr>
          <w:rFonts w:hint="eastAsia"/>
          <w:color w:val="auto"/>
          <w:sz w:val="24"/>
          <w:szCs w:val="24"/>
          <w:highlight w:val="none"/>
        </w:rPr>
        <w:t>生态红线</w:t>
      </w:r>
      <w:r>
        <w:rPr>
          <w:rFonts w:hint="eastAsia" w:ascii="宋体" w:hAnsi="宋体" w:eastAsia="宋体" w:cs="宋体"/>
          <w:color w:val="auto"/>
          <w:sz w:val="24"/>
          <w:szCs w:val="28"/>
          <w:highlight w:val="none"/>
        </w:rPr>
        <w:t>的不可避让性、生态环境影响分析及生态补偿等。</w:t>
      </w:r>
    </w:p>
    <w:p w14:paraId="473AC88B">
      <w:pPr>
        <w:pageBreakBefore w:val="0"/>
        <w:kinsoku/>
        <w:overflowPunct/>
        <w:topLinePunct w:val="0"/>
        <w:bidi w:val="0"/>
        <w:snapToGrid w:val="0"/>
        <w:spacing w:line="360" w:lineRule="auto"/>
        <w:ind w:firstLine="480" w:firstLineChars="200"/>
        <w:rPr>
          <w:rFonts w:hint="default" w:ascii="宋体" w:hAnsi="宋体" w:eastAsia="宋体" w:cs="宋体"/>
          <w:color w:val="auto"/>
          <w:sz w:val="24"/>
          <w:szCs w:val="28"/>
          <w:highlight w:val="none"/>
          <w:lang w:val="en-US"/>
        </w:rPr>
      </w:pPr>
      <w:r>
        <w:rPr>
          <w:rFonts w:hint="eastAsia" w:ascii="宋体" w:hAnsi="宋体" w:eastAsia="宋体" w:cs="宋体"/>
          <w:color w:val="auto"/>
          <w:sz w:val="24"/>
          <w:szCs w:val="28"/>
          <w:highlight w:val="none"/>
        </w:rPr>
        <w:t>参加由自然资源部门组织的专家论证会，阐述涉及项目生态空间管控区</w:t>
      </w:r>
      <w:r>
        <w:rPr>
          <w:rFonts w:hint="eastAsia" w:ascii="宋体" w:hAnsi="宋体" w:cs="宋体"/>
          <w:color w:val="auto"/>
          <w:sz w:val="24"/>
          <w:szCs w:val="28"/>
          <w:highlight w:val="none"/>
          <w:lang w:val="en-US" w:eastAsia="zh-CN"/>
        </w:rPr>
        <w:t>或</w:t>
      </w:r>
      <w:r>
        <w:rPr>
          <w:rFonts w:hint="eastAsia"/>
          <w:color w:val="auto"/>
          <w:sz w:val="24"/>
          <w:szCs w:val="24"/>
          <w:highlight w:val="none"/>
        </w:rPr>
        <w:t>生态红线</w:t>
      </w:r>
      <w:r>
        <w:rPr>
          <w:rFonts w:hint="eastAsia"/>
          <w:color w:val="auto"/>
          <w:sz w:val="24"/>
          <w:szCs w:val="24"/>
          <w:highlight w:val="none"/>
          <w:lang w:val="en-US" w:eastAsia="zh-CN"/>
        </w:rPr>
        <w:t>的</w:t>
      </w:r>
      <w:r>
        <w:rPr>
          <w:rFonts w:hint="eastAsia" w:ascii="宋体" w:hAnsi="宋体" w:eastAsia="宋体" w:cs="宋体"/>
          <w:color w:val="auto"/>
          <w:sz w:val="24"/>
          <w:szCs w:val="28"/>
          <w:highlight w:val="none"/>
        </w:rPr>
        <w:t>情况，通过专家及相关部门的质询，获得市政府出具的论证意见。</w:t>
      </w:r>
    </w:p>
    <w:p w14:paraId="532DA8EA">
      <w:pPr>
        <w:keepNext/>
        <w:keepLines/>
        <w:pageBreakBefore w:val="0"/>
        <w:widowControl w:val="0"/>
        <w:kinsoku/>
        <w:wordWrap/>
        <w:overflowPunct/>
        <w:topLinePunct w:val="0"/>
        <w:bidi w:val="0"/>
        <w:snapToGrid w:val="0"/>
        <w:spacing w:before="0" w:after="0" w:line="360" w:lineRule="auto"/>
        <w:jc w:val="both"/>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三、项目成果要求</w:t>
      </w:r>
    </w:p>
    <w:p w14:paraId="32170652">
      <w:pPr>
        <w:pageBreakBefore w:val="0"/>
        <w:kinsoku/>
        <w:overflowPunct/>
        <w:topLinePunct w:val="0"/>
        <w:bidi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（一）提交经上级主管部门组织论证通过的《</w:t>
      </w:r>
      <w:r>
        <w:rPr>
          <w:rFonts w:hint="eastAsia" w:ascii="宋体" w:hAnsi="宋体" w:cs="宋体"/>
          <w:color w:val="auto"/>
          <w:sz w:val="24"/>
          <w:szCs w:val="24"/>
          <w:highlight w:val="none"/>
          <w:lang w:val="en-US" w:eastAsia="zh-CN"/>
        </w:rPr>
        <w:t>宜兴市离岸水域深井控藻工程不可避让论证</w:t>
      </w:r>
      <w:r>
        <w:rPr>
          <w:rFonts w:hint="eastAsia" w:ascii="Times New Roman" w:hAnsi="Times New Roman" w:eastAsia="宋体" w:cs="Times New Roman"/>
          <w:color w:val="auto"/>
          <w:sz w:val="24"/>
          <w:highlight w:val="none"/>
        </w:rPr>
        <w:t>报告》专家论证意见；</w:t>
      </w:r>
    </w:p>
    <w:p w14:paraId="2F2814BF">
      <w:pPr>
        <w:pageBreakBefore w:val="0"/>
        <w:kinsoku/>
        <w:overflowPunct/>
        <w:topLinePunct w:val="0"/>
        <w:bidi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（二）无锡市自然资源和规划局和无锡市生态环境局联合出具的《无锡市自然资源和规划局无锡市生态环境局关于《</w:t>
      </w:r>
      <w:r>
        <w:rPr>
          <w:rFonts w:hint="eastAsia" w:ascii="宋体" w:hAnsi="宋体" w:cs="宋体"/>
          <w:color w:val="auto"/>
          <w:sz w:val="24"/>
          <w:szCs w:val="24"/>
          <w:highlight w:val="none"/>
          <w:lang w:val="en-US" w:eastAsia="zh-CN"/>
        </w:rPr>
        <w:t>宜兴市离岸水域深井控藻工程</w:t>
      </w:r>
      <w:r>
        <w:rPr>
          <w:rFonts w:hint="eastAsia" w:ascii="Times New Roman" w:hAnsi="Times New Roman" w:eastAsia="宋体" w:cs="Times New Roman"/>
          <w:color w:val="auto"/>
          <w:sz w:val="24"/>
          <w:highlight w:val="none"/>
        </w:rPr>
        <w:t>临时用地涉及生态空间管控区域的意见》。</w:t>
      </w:r>
    </w:p>
    <w:p w14:paraId="072C5D14">
      <w:pPr>
        <w:pageBreakBefore w:val="0"/>
        <w:widowControl w:val="0"/>
        <w:numPr>
          <w:ilvl w:val="0"/>
          <w:numId w:val="0"/>
        </w:numPr>
        <w:kinsoku/>
        <w:wordWrap/>
        <w:overflowPunct/>
        <w:topLinePunct w:val="0"/>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color w:val="auto"/>
          <w:sz w:val="24"/>
          <w:szCs w:val="24"/>
          <w:highlight w:val="none"/>
        </w:rPr>
        <w:t>商务要求</w:t>
      </w:r>
    </w:p>
    <w:p w14:paraId="1F25249F">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1、报价要求：</w:t>
      </w:r>
    </w:p>
    <w:p w14:paraId="013DD0E1">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 供应商所投标报价不得高于投标最高预算限价，否则按废标处理。</w:t>
      </w:r>
    </w:p>
    <w:p w14:paraId="3448B7F3">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 本项目投标报价</w:t>
      </w:r>
      <w:r>
        <w:rPr>
          <w:rFonts w:hint="eastAsia" w:ascii="宋体" w:hAnsi="宋体" w:cs="宋体"/>
          <w:color w:val="auto"/>
          <w:sz w:val="24"/>
          <w:szCs w:val="24"/>
          <w:highlight w:val="none"/>
          <w:lang w:val="en-US" w:eastAsia="zh-CN" w:bidi="ar-SA"/>
        </w:rPr>
        <w:t>包括但不限于</w:t>
      </w:r>
      <w:r>
        <w:rPr>
          <w:rFonts w:hint="eastAsia" w:ascii="宋体" w:hAnsi="宋体" w:eastAsia="宋体" w:cs="宋体"/>
          <w:color w:val="auto"/>
          <w:sz w:val="24"/>
          <w:szCs w:val="24"/>
          <w:highlight w:val="none"/>
          <w:lang w:val="en-US" w:eastAsia="zh-CN" w:bidi="ar-SA"/>
        </w:rPr>
        <w:t>供应商承担该项目全部项目所需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09BF4CB3">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2、服务期：签订合同后</w:t>
      </w:r>
      <w:r>
        <w:rPr>
          <w:rFonts w:hint="eastAsia" w:ascii="宋体" w:hAnsi="宋体" w:cs="宋体"/>
          <w:color w:val="auto"/>
          <w:sz w:val="24"/>
          <w:szCs w:val="24"/>
          <w:highlight w:val="none"/>
          <w:lang w:val="en-US" w:eastAsia="zh-CN" w:bidi="ar-SA"/>
        </w:rPr>
        <w:t>20</w:t>
      </w:r>
      <w:r>
        <w:rPr>
          <w:rFonts w:hint="eastAsia" w:ascii="宋体" w:hAnsi="宋体" w:eastAsia="宋体" w:cs="宋体"/>
          <w:color w:val="auto"/>
          <w:sz w:val="24"/>
          <w:szCs w:val="24"/>
          <w:highlight w:val="none"/>
          <w:lang w:val="en-US" w:eastAsia="zh-CN" w:bidi="ar-SA"/>
        </w:rPr>
        <w:t>日内完成不可避让论证送审稿编制（按照专家意见7天内完成报告修改，</w:t>
      </w:r>
      <w:r>
        <w:rPr>
          <w:rFonts w:hint="eastAsia"/>
          <w:color w:val="auto"/>
          <w:sz w:val="24"/>
          <w:szCs w:val="24"/>
          <w:highlight w:val="none"/>
          <w:lang w:val="en-US" w:eastAsia="zh-CN"/>
        </w:rPr>
        <w:t>须专家签字确认）；报批稿提交后</w:t>
      </w:r>
      <w:r>
        <w:rPr>
          <w:rFonts w:hint="eastAsia" w:ascii="宋体" w:hAnsi="宋体" w:eastAsia="宋体" w:cs="宋体"/>
          <w:color w:val="auto"/>
          <w:sz w:val="24"/>
          <w:szCs w:val="24"/>
          <w:highlight w:val="none"/>
          <w:lang w:val="en-US" w:eastAsia="zh-CN" w:bidi="ar-SA"/>
        </w:rPr>
        <w:t>30日内取得无锡市人民政府出具的不可避让论证意见。</w:t>
      </w:r>
      <w:r>
        <w:rPr>
          <w:rFonts w:hint="eastAsia"/>
          <w:color w:val="auto"/>
          <w:highlight w:val="none"/>
          <w:lang w:eastAsia="zh-CN"/>
        </w:rPr>
        <w:t>（</w:t>
      </w:r>
      <w:r>
        <w:rPr>
          <w:rFonts w:hint="eastAsia" w:ascii="宋体" w:hAnsi="宋体" w:eastAsia="宋体" w:cs="宋体"/>
          <w:color w:val="auto"/>
          <w:sz w:val="24"/>
          <w:szCs w:val="24"/>
          <w:highlight w:val="none"/>
          <w:lang w:val="en-US" w:eastAsia="zh-CN" w:bidi="ar-SA"/>
        </w:rPr>
        <w:t>如因项目本身原因等不可抗力，造成方案无法按期取得相关成果。则由甲乙双方协商解决。）</w:t>
      </w:r>
    </w:p>
    <w:p w14:paraId="1D78C4AD">
      <w:pPr>
        <w:pageBreakBefore w:val="0"/>
        <w:kinsoku/>
        <w:overflowPunct/>
        <w:topLinePunct w:val="0"/>
        <w:autoSpaceDE w:val="0"/>
        <w:autoSpaceDN w:val="0"/>
        <w:bidi w:val="0"/>
        <w:adjustRightInd w:val="0"/>
        <w:snapToGrid w:val="0"/>
        <w:spacing w:line="360" w:lineRule="auto"/>
        <w:ind w:firstLine="480" w:firstLineChars="200"/>
        <w:jc w:val="left"/>
        <w:rPr>
          <w:rStyle w:val="17"/>
          <w:rFonts w:hint="eastAsia" w:ascii="宋体" w:hAnsi="宋体"/>
          <w:color w:val="auto"/>
          <w:sz w:val="24"/>
          <w:szCs w:val="24"/>
          <w:highlight w:val="none"/>
        </w:rPr>
      </w:pPr>
      <w:r>
        <w:rPr>
          <w:rStyle w:val="17"/>
          <w:rFonts w:hint="eastAsia" w:ascii="宋体" w:hAnsi="宋体"/>
          <w:color w:val="auto"/>
          <w:sz w:val="24"/>
          <w:szCs w:val="24"/>
          <w:highlight w:val="none"/>
        </w:rPr>
        <w:t>评审通过后7天内完成报批稿交付甲方。</w:t>
      </w:r>
    </w:p>
    <w:p w14:paraId="20813FEF">
      <w:pPr>
        <w:pageBreakBefore w:val="0"/>
        <w:kinsoku/>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bidi="ar-SA"/>
        </w:rPr>
      </w:pPr>
      <w:r>
        <w:rPr>
          <w:rFonts w:hint="eastAsia" w:ascii="宋体" w:hAnsi="宋体"/>
          <w:color w:val="auto"/>
          <w:sz w:val="24"/>
          <w:szCs w:val="24"/>
          <w:highlight w:val="none"/>
        </w:rPr>
        <w:t>如延误</w:t>
      </w:r>
      <w:r>
        <w:rPr>
          <w:rFonts w:hint="eastAsia" w:ascii="宋体" w:hAnsi="宋体"/>
          <w:color w:val="auto"/>
          <w:sz w:val="24"/>
          <w:szCs w:val="24"/>
          <w:highlight w:val="none"/>
          <w:lang w:val="en-US" w:eastAsia="zh-CN"/>
        </w:rPr>
        <w:t>上述</w:t>
      </w:r>
      <w:r>
        <w:rPr>
          <w:rFonts w:hint="eastAsia" w:ascii="宋体" w:hAnsi="宋体"/>
          <w:color w:val="auto"/>
          <w:sz w:val="24"/>
          <w:szCs w:val="24"/>
          <w:highlight w:val="none"/>
        </w:rPr>
        <w:t>工期，则中标方按中标价的千分之二/天支付违约金给采购人。</w:t>
      </w:r>
    </w:p>
    <w:p w14:paraId="2AE7A17C">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3、服务地点：采购人指定地点。</w:t>
      </w:r>
    </w:p>
    <w:p w14:paraId="16558161">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、服务保障</w:t>
      </w:r>
      <w:r>
        <w:rPr>
          <w:rFonts w:hint="eastAsia" w:ascii="宋体" w:hAnsi="宋体" w:eastAsia="宋体" w:cs="宋体"/>
          <w:color w:val="auto"/>
          <w:sz w:val="24"/>
          <w:szCs w:val="24"/>
          <w:highlight w:val="none"/>
          <w:lang w:val="en-US" w:eastAsia="zh-CN"/>
        </w:rPr>
        <w:t>要求：</w:t>
      </w:r>
    </w:p>
    <w:p w14:paraId="34398831">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中标供应商应就本项目采购文件中的要求配合采购人做好服务工作，且中标供应商应提供及时周到的后续服务，并在规定时间内提交符合标准的服务成果。</w:t>
      </w:r>
    </w:p>
    <w:p w14:paraId="3C97437D">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保密责任：对本项目所涉及的内容负有保密责任。</w:t>
      </w:r>
    </w:p>
    <w:p w14:paraId="77DCA3D5">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4、验收标准：</w:t>
      </w:r>
    </w:p>
    <w:p w14:paraId="6C6459F1">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4.1采购人根据国家有关规定、招投标文件以及合同约定的内容。</w:t>
      </w:r>
    </w:p>
    <w:p w14:paraId="3E82F1F5">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4.2项目实施标准还应满足市政府及主管部门提出的其他要求。</w:t>
      </w:r>
    </w:p>
    <w:p w14:paraId="57564400">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5、付款步骤：</w:t>
      </w:r>
    </w:p>
    <w:p w14:paraId="17EC8BA6">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.1获得市政府出具的论证意见，一次性支付合同</w:t>
      </w:r>
      <w:r>
        <w:rPr>
          <w:rFonts w:hint="eastAsia" w:ascii="宋体" w:hAnsi="宋体" w:eastAsia="宋体" w:cs="宋体"/>
          <w:color w:val="auto"/>
          <w:sz w:val="24"/>
          <w:szCs w:val="24"/>
          <w:highlight w:val="none"/>
          <w:lang w:val="en-US" w:eastAsia="zh-CN"/>
        </w:rPr>
        <w:t>价款</w:t>
      </w:r>
      <w:r>
        <w:rPr>
          <w:rFonts w:hint="eastAsia" w:ascii="宋体" w:hAnsi="宋体" w:eastAsia="宋体" w:cs="宋体"/>
          <w:color w:val="auto"/>
          <w:sz w:val="24"/>
          <w:szCs w:val="24"/>
          <w:highlight w:val="none"/>
          <w:lang w:eastAsia="zh-CN"/>
        </w:rPr>
        <w:t>。</w:t>
      </w:r>
    </w:p>
    <w:p w14:paraId="4AA41B4F">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.2发票开具方式：增值税专用发票。</w:t>
      </w:r>
    </w:p>
    <w:p w14:paraId="191FABA2">
      <w:pPr>
        <w:outlineLvl w:val="0"/>
        <w:rPr>
          <w:rFonts w:hint="eastAsia" w:ascii="黑体" w:hAnsi="黑体" w:eastAsia="黑体"/>
          <w:color w:val="auto"/>
          <w:sz w:val="28"/>
          <w:highlight w:val="none"/>
        </w:rPr>
        <w:sectPr>
          <w:headerReference r:id="rId5" w:type="default"/>
          <w:footerReference r:id="rId6" w:type="default"/>
          <w:pgSz w:w="11906" w:h="16838"/>
          <w:pgMar w:top="1417" w:right="1701" w:bottom="1417" w:left="1701" w:header="851" w:footer="992" w:gutter="0"/>
          <w:cols w:space="720" w:num="1"/>
          <w:docGrid w:type="lines" w:linePitch="312" w:charSpace="0"/>
        </w:sectPr>
      </w:pPr>
    </w:p>
    <w:p w14:paraId="17E69448">
      <w:p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第四章 评标方法和标准</w:t>
      </w:r>
    </w:p>
    <w:p w14:paraId="73E56C15">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一、评分项目（总分100分）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14:paraId="2664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5" w:type="dxa"/>
            <w:noWrap w:val="0"/>
            <w:vAlign w:val="center"/>
          </w:tcPr>
          <w:p w14:paraId="151F662A">
            <w:pPr>
              <w:jc w:val="center"/>
              <w:rPr>
                <w:rFonts w:hint="eastAsia" w:ascii="宋体" w:hAnsi="宋体"/>
                <w:color w:val="auto"/>
                <w:sz w:val="24"/>
                <w:szCs w:val="24"/>
                <w:highlight w:val="none"/>
              </w:rPr>
            </w:pPr>
            <w:r>
              <w:rPr>
                <w:rFonts w:hint="eastAsia" w:ascii="宋体" w:hAnsi="宋体"/>
                <w:color w:val="auto"/>
                <w:sz w:val="24"/>
                <w:szCs w:val="24"/>
                <w:highlight w:val="none"/>
              </w:rPr>
              <w:t>技术商务部分</w:t>
            </w:r>
          </w:p>
        </w:tc>
        <w:tc>
          <w:tcPr>
            <w:tcW w:w="5755" w:type="dxa"/>
            <w:noWrap w:val="0"/>
            <w:vAlign w:val="center"/>
          </w:tcPr>
          <w:p w14:paraId="7A4A8576">
            <w:pPr>
              <w:jc w:val="center"/>
              <w:rPr>
                <w:rFonts w:hint="eastAsia" w:ascii="宋体" w:hAnsi="宋体"/>
                <w:color w:val="auto"/>
                <w:sz w:val="24"/>
                <w:szCs w:val="24"/>
                <w:highlight w:val="none"/>
              </w:rPr>
            </w:pPr>
            <w:r>
              <w:rPr>
                <w:rFonts w:hint="eastAsia" w:ascii="宋体" w:hAnsi="宋体" w:cs="宋体"/>
                <w:color w:val="auto"/>
                <w:sz w:val="24"/>
                <w:highlight w:val="none"/>
                <w:lang w:val="en-US" w:eastAsia="zh-CN"/>
              </w:rPr>
              <w:t>80</w:t>
            </w:r>
            <w:r>
              <w:rPr>
                <w:rFonts w:hint="eastAsia" w:ascii="宋体" w:hAnsi="宋体" w:cs="宋体"/>
                <w:color w:val="auto"/>
                <w:sz w:val="24"/>
                <w:highlight w:val="none"/>
              </w:rPr>
              <w:t>分</w:t>
            </w:r>
          </w:p>
        </w:tc>
      </w:tr>
      <w:tr w14:paraId="6103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noWrap w:val="0"/>
            <w:vAlign w:val="center"/>
          </w:tcPr>
          <w:p w14:paraId="770A626B">
            <w:pPr>
              <w:jc w:val="center"/>
              <w:rPr>
                <w:rFonts w:hint="eastAsia" w:ascii="宋体" w:hAnsi="宋体"/>
                <w:color w:val="auto"/>
                <w:sz w:val="24"/>
                <w:szCs w:val="24"/>
                <w:highlight w:val="none"/>
              </w:rPr>
            </w:pPr>
            <w:r>
              <w:rPr>
                <w:rFonts w:hint="eastAsia" w:ascii="宋体" w:hAnsi="宋体"/>
                <w:color w:val="auto"/>
                <w:sz w:val="24"/>
                <w:szCs w:val="24"/>
                <w:highlight w:val="none"/>
              </w:rPr>
              <w:t>价格部分</w:t>
            </w:r>
          </w:p>
        </w:tc>
        <w:tc>
          <w:tcPr>
            <w:tcW w:w="5755" w:type="dxa"/>
            <w:noWrap w:val="0"/>
            <w:vAlign w:val="center"/>
          </w:tcPr>
          <w:p w14:paraId="60742BC2">
            <w:pPr>
              <w:jc w:val="center"/>
              <w:rPr>
                <w:rFonts w:hint="eastAsia" w:ascii="宋体" w:hAnsi="宋体"/>
                <w:color w:val="auto"/>
                <w:sz w:val="24"/>
                <w:szCs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w:t>
            </w:r>
          </w:p>
        </w:tc>
      </w:tr>
    </w:tbl>
    <w:p w14:paraId="44DE4A5E">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二、评审内容：</w:t>
      </w:r>
    </w:p>
    <w:p w14:paraId="192BB04F">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1、</w:t>
      </w:r>
      <w:bookmarkStart w:id="80" w:name="OLE_LINK10"/>
      <w:r>
        <w:rPr>
          <w:rFonts w:hint="eastAsia" w:ascii="宋体" w:hAnsi="宋体"/>
          <w:color w:val="auto"/>
          <w:sz w:val="24"/>
          <w:szCs w:val="24"/>
          <w:highlight w:val="none"/>
        </w:rPr>
        <w:t>技术商务部分</w:t>
      </w:r>
      <w:bookmarkEnd w:id="8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556"/>
        <w:gridCol w:w="1111"/>
        <w:gridCol w:w="565"/>
        <w:gridCol w:w="5586"/>
      </w:tblGrid>
      <w:tr w14:paraId="28D4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0" w:type="dxa"/>
            <w:tcBorders>
              <w:top w:val="single" w:color="auto" w:sz="4" w:space="0"/>
              <w:left w:val="single" w:color="auto" w:sz="4" w:space="0"/>
              <w:bottom w:val="single" w:color="auto" w:sz="4" w:space="0"/>
              <w:right w:val="single" w:color="auto" w:sz="4" w:space="0"/>
            </w:tcBorders>
            <w:noWrap w:val="0"/>
            <w:vAlign w:val="center"/>
          </w:tcPr>
          <w:p w14:paraId="2B40114D">
            <w:pPr>
              <w:jc w:val="center"/>
              <w:rPr>
                <w:rFonts w:ascii="宋体" w:hAnsi="宋体"/>
                <w:color w:val="auto"/>
                <w:sz w:val="24"/>
                <w:szCs w:val="24"/>
                <w:highlight w:val="none"/>
              </w:rPr>
            </w:pPr>
            <w:r>
              <w:rPr>
                <w:rFonts w:hint="eastAsia" w:ascii="宋体" w:hAnsi="宋体"/>
                <w:color w:val="auto"/>
                <w:sz w:val="24"/>
                <w:szCs w:val="24"/>
                <w:highlight w:val="none"/>
              </w:rPr>
              <w:t>评审内容</w:t>
            </w:r>
          </w:p>
        </w:tc>
        <w:tc>
          <w:tcPr>
            <w:tcW w:w="556" w:type="dxa"/>
            <w:tcBorders>
              <w:top w:val="single" w:color="auto" w:sz="4" w:space="0"/>
              <w:left w:val="single" w:color="auto" w:sz="4" w:space="0"/>
              <w:bottom w:val="single" w:color="auto" w:sz="4" w:space="0"/>
              <w:right w:val="single" w:color="auto" w:sz="4" w:space="0"/>
            </w:tcBorders>
            <w:noWrap w:val="0"/>
            <w:vAlign w:val="center"/>
          </w:tcPr>
          <w:p w14:paraId="4BD17912">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111" w:type="dxa"/>
            <w:tcBorders>
              <w:top w:val="single" w:color="auto" w:sz="4" w:space="0"/>
              <w:left w:val="single" w:color="auto" w:sz="4" w:space="0"/>
              <w:right w:val="single" w:color="auto" w:sz="4" w:space="0"/>
            </w:tcBorders>
            <w:noWrap w:val="0"/>
            <w:vAlign w:val="center"/>
          </w:tcPr>
          <w:p w14:paraId="4B680A51">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565" w:type="dxa"/>
            <w:tcBorders>
              <w:top w:val="single" w:color="auto" w:sz="4" w:space="0"/>
              <w:left w:val="single" w:color="auto" w:sz="4" w:space="0"/>
              <w:right w:val="single" w:color="auto" w:sz="4" w:space="0"/>
            </w:tcBorders>
            <w:noWrap w:val="0"/>
            <w:vAlign w:val="center"/>
          </w:tcPr>
          <w:p w14:paraId="70CD53C8">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404761AE">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r>
      <w:tr w14:paraId="7A40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0" w:type="dxa"/>
            <w:vMerge w:val="restart"/>
            <w:tcBorders>
              <w:top w:val="single" w:color="auto" w:sz="4" w:space="0"/>
              <w:left w:val="single" w:color="auto" w:sz="4" w:space="0"/>
              <w:right w:val="single" w:color="auto" w:sz="4" w:space="0"/>
            </w:tcBorders>
            <w:noWrap w:val="0"/>
            <w:vAlign w:val="center"/>
          </w:tcPr>
          <w:p w14:paraId="17FE37CB">
            <w:pPr>
              <w:jc w:val="center"/>
              <w:rPr>
                <w:rFonts w:ascii="宋体" w:hAnsi="宋体"/>
                <w:color w:val="auto"/>
                <w:sz w:val="24"/>
                <w:szCs w:val="24"/>
                <w:highlight w:val="none"/>
              </w:rPr>
            </w:pPr>
            <w:r>
              <w:rPr>
                <w:rFonts w:hint="eastAsia" w:ascii="宋体" w:hAnsi="宋体"/>
                <w:color w:val="auto"/>
                <w:sz w:val="24"/>
                <w:szCs w:val="24"/>
                <w:highlight w:val="none"/>
              </w:rPr>
              <w:t>主观</w:t>
            </w:r>
            <w:r>
              <w:rPr>
                <w:rFonts w:hint="eastAsia" w:ascii="宋体" w:hAnsi="宋体"/>
                <w:color w:val="auto"/>
                <w:sz w:val="24"/>
                <w:szCs w:val="24"/>
                <w:highlight w:val="none"/>
                <w:lang w:val="en-US" w:eastAsia="zh-CN"/>
              </w:rPr>
              <w:t>评</w:t>
            </w:r>
            <w:r>
              <w:rPr>
                <w:rFonts w:hint="eastAsia" w:ascii="宋体" w:hAnsi="宋体"/>
                <w:color w:val="auto"/>
                <w:sz w:val="24"/>
                <w:szCs w:val="24"/>
                <w:highlight w:val="none"/>
              </w:rPr>
              <w:t>审因素</w:t>
            </w:r>
          </w:p>
          <w:p w14:paraId="3141B55D">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216C782F">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111" w:type="dxa"/>
            <w:tcBorders>
              <w:top w:val="single" w:color="auto" w:sz="4" w:space="0"/>
              <w:left w:val="single" w:color="auto" w:sz="4" w:space="0"/>
              <w:right w:val="single" w:color="auto" w:sz="4" w:space="0"/>
            </w:tcBorders>
            <w:noWrap w:val="0"/>
            <w:vAlign w:val="center"/>
          </w:tcPr>
          <w:p w14:paraId="3DD08CDA">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现状调查与分析</w:t>
            </w:r>
          </w:p>
        </w:tc>
        <w:tc>
          <w:tcPr>
            <w:tcW w:w="565" w:type="dxa"/>
            <w:tcBorders>
              <w:top w:val="single" w:color="auto" w:sz="4" w:space="0"/>
              <w:left w:val="single" w:color="auto" w:sz="4" w:space="0"/>
              <w:right w:val="single" w:color="auto" w:sz="4" w:space="0"/>
            </w:tcBorders>
            <w:noWrap w:val="0"/>
            <w:vAlign w:val="center"/>
          </w:tcPr>
          <w:p w14:paraId="76B946F7">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15</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284E1AD7">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对工程范围内的建设条件、水环境现状、水系分布情况等进行调查和评价，并熟悉了解工程的情况。</w:t>
            </w:r>
          </w:p>
          <w:p w14:paraId="51DE0451">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对项目建设条件、水环境现状、水系分布情况了解清晰，表述清楚的得</w:t>
            </w:r>
            <w:r>
              <w:rPr>
                <w:rFonts w:hint="eastAsia" w:ascii="宋体" w:hAnsi="宋体" w:eastAsia="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lang w:eastAsia="zh-CN"/>
              </w:rPr>
              <w:t>分；</w:t>
            </w:r>
          </w:p>
          <w:p w14:paraId="64D3FB47">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对项目建设条件、水环境现状、水系分布情况了解比较清晰，表述的比较清楚的得</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eastAsia="zh-CN"/>
              </w:rPr>
              <w:t>分；</w:t>
            </w:r>
          </w:p>
          <w:p w14:paraId="523F3B3C">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对项目建设条件、水环境现状、水系分布情况了解较差的，表述的较差的得</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分；</w:t>
            </w:r>
          </w:p>
          <w:p w14:paraId="631FA9C8">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未提供则不得分。</w:t>
            </w:r>
          </w:p>
        </w:tc>
      </w:tr>
      <w:tr w14:paraId="495D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040" w:type="dxa"/>
            <w:vMerge w:val="continue"/>
            <w:tcBorders>
              <w:left w:val="single" w:color="auto" w:sz="4" w:space="0"/>
              <w:right w:val="single" w:color="auto" w:sz="4" w:space="0"/>
            </w:tcBorders>
            <w:noWrap w:val="0"/>
            <w:vAlign w:val="center"/>
          </w:tcPr>
          <w:p w14:paraId="0694DC73">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32791975">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11" w:type="dxa"/>
            <w:tcBorders>
              <w:top w:val="single" w:color="auto" w:sz="4" w:space="0"/>
              <w:left w:val="single" w:color="auto" w:sz="4" w:space="0"/>
              <w:right w:val="single" w:color="auto" w:sz="4" w:space="0"/>
            </w:tcBorders>
            <w:noWrap w:val="0"/>
            <w:vAlign w:val="center"/>
          </w:tcPr>
          <w:p w14:paraId="2B7DEEF7">
            <w:pPr>
              <w:keepNext w:val="0"/>
              <w:keepLines w:val="0"/>
              <w:pageBreakBefore w:val="0"/>
              <w:widowControl w:val="0"/>
              <w:kinsoku/>
              <w:wordWrap/>
              <w:overflowPunct/>
              <w:topLinePunct w:val="0"/>
              <w:autoSpaceDE/>
              <w:autoSpaceDN/>
              <w:bidi w:val="0"/>
              <w:adjustRightInd/>
              <w:snapToGrid w:val="0"/>
              <w:spacing w:after="96" w:line="240" w:lineRule="auto"/>
              <w:jc w:val="center"/>
              <w:textAlignment w:val="auto"/>
              <w:rPr>
                <w:rFonts w:hint="eastAsia" w:ascii="宋体" w:hAnsi="宋体" w:eastAsia="宋体" w:cs="Times New Roman"/>
                <w:b w:val="0"/>
                <w:bCs/>
                <w:color w:val="auto"/>
                <w:sz w:val="24"/>
                <w:szCs w:val="24"/>
                <w:highlight w:val="none"/>
              </w:rPr>
            </w:pPr>
            <w:r>
              <w:rPr>
                <w:rFonts w:hint="eastAsia" w:ascii="宋体" w:hAnsi="宋体"/>
                <w:b w:val="0"/>
                <w:bCs/>
                <w:color w:val="auto"/>
                <w:sz w:val="24"/>
                <w:szCs w:val="22"/>
                <w:highlight w:val="none"/>
              </w:rPr>
              <w:t>工作技术方案</w:t>
            </w:r>
          </w:p>
        </w:tc>
        <w:tc>
          <w:tcPr>
            <w:tcW w:w="565" w:type="dxa"/>
            <w:tcBorders>
              <w:top w:val="single" w:color="auto" w:sz="4" w:space="0"/>
              <w:left w:val="single" w:color="auto" w:sz="4" w:space="0"/>
              <w:right w:val="single" w:color="auto" w:sz="4" w:space="0"/>
            </w:tcBorders>
            <w:noWrap w:val="0"/>
            <w:vAlign w:val="center"/>
          </w:tcPr>
          <w:p w14:paraId="7BB90C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b w:val="0"/>
                <w:bCs/>
                <w:color w:val="auto"/>
                <w:sz w:val="24"/>
                <w:szCs w:val="24"/>
                <w:highlight w:val="none"/>
                <w:lang w:val="en-US" w:eastAsia="zh-CN"/>
              </w:rPr>
            </w:pPr>
            <w:r>
              <w:rPr>
                <w:rFonts w:hint="eastAsia" w:ascii="宋体" w:hAnsi="宋体"/>
                <w:b w:val="0"/>
                <w:bCs/>
                <w:color w:val="auto"/>
                <w:sz w:val="22"/>
                <w:szCs w:val="21"/>
                <w:highlight w:val="none"/>
                <w:lang w:val="en-US" w:eastAsia="zh-CN"/>
              </w:rPr>
              <w:t>10</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465C9490">
            <w:pPr>
              <w:keepNext w:val="0"/>
              <w:keepLines w:val="0"/>
              <w:pageBreakBefore w:val="0"/>
              <w:widowControl w:val="0"/>
              <w:kinsoku/>
              <w:wordWrap/>
              <w:overflowPunct/>
              <w:topLinePunct w:val="0"/>
              <w:autoSpaceDE/>
              <w:autoSpaceDN/>
              <w:bidi w:val="0"/>
              <w:adjustRightInd/>
              <w:snapToGrid w:val="0"/>
              <w:spacing w:after="96" w:line="240" w:lineRule="auto"/>
              <w:textAlignment w:val="auto"/>
              <w:rPr>
                <w:rFonts w:hint="eastAsia" w:ascii="宋体" w:hAnsi="宋体"/>
                <w:b w:val="0"/>
                <w:bCs/>
                <w:color w:val="auto"/>
                <w:sz w:val="24"/>
                <w:highlight w:val="none"/>
              </w:rPr>
            </w:pPr>
            <w:r>
              <w:rPr>
                <w:rFonts w:hint="eastAsia" w:ascii="宋体" w:hAnsi="宋体"/>
                <w:b w:val="0"/>
                <w:bCs/>
                <w:color w:val="auto"/>
                <w:sz w:val="24"/>
                <w:highlight w:val="none"/>
              </w:rPr>
              <w:t>工作方法先进、科学、合理、实用可行的得</w:t>
            </w:r>
            <w:r>
              <w:rPr>
                <w:rFonts w:hint="eastAsia" w:ascii="宋体" w:hAnsi="宋体"/>
                <w:b w:val="0"/>
                <w:bCs/>
                <w:color w:val="auto"/>
                <w:sz w:val="24"/>
                <w:highlight w:val="none"/>
                <w:lang w:val="en-US" w:eastAsia="zh-CN"/>
              </w:rPr>
              <w:t>10</w:t>
            </w:r>
            <w:r>
              <w:rPr>
                <w:rFonts w:hint="eastAsia" w:ascii="宋体" w:hAnsi="宋体"/>
                <w:b w:val="0"/>
                <w:bCs/>
                <w:color w:val="auto"/>
                <w:sz w:val="24"/>
                <w:highlight w:val="none"/>
              </w:rPr>
              <w:t>分；工作方法较先进、合理、有可行性的得</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分；</w:t>
            </w:r>
          </w:p>
          <w:p w14:paraId="4730C799">
            <w:pPr>
              <w:keepNext w:val="0"/>
              <w:keepLines w:val="0"/>
              <w:pageBreakBefore w:val="0"/>
              <w:widowControl w:val="0"/>
              <w:kinsoku/>
              <w:wordWrap/>
              <w:overflowPunct/>
              <w:topLinePunct w:val="0"/>
              <w:autoSpaceDE/>
              <w:autoSpaceDN/>
              <w:bidi w:val="0"/>
              <w:adjustRightInd/>
              <w:snapToGrid w:val="0"/>
              <w:spacing w:after="96" w:line="240" w:lineRule="auto"/>
              <w:textAlignment w:val="auto"/>
              <w:rPr>
                <w:rFonts w:hint="eastAsia" w:ascii="宋体" w:hAnsi="宋体"/>
                <w:b w:val="0"/>
                <w:bCs/>
                <w:color w:val="auto"/>
                <w:sz w:val="24"/>
                <w:highlight w:val="none"/>
              </w:rPr>
            </w:pPr>
            <w:r>
              <w:rPr>
                <w:rFonts w:hint="eastAsia" w:ascii="宋体" w:hAnsi="宋体"/>
                <w:b w:val="0"/>
                <w:bCs/>
                <w:color w:val="auto"/>
                <w:sz w:val="24"/>
                <w:highlight w:val="none"/>
              </w:rPr>
              <w:t>工作方法通用、合理性差、可行性差的得</w:t>
            </w: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分；</w:t>
            </w:r>
          </w:p>
          <w:p w14:paraId="2034F125">
            <w:pPr>
              <w:keepNext w:val="0"/>
              <w:keepLines w:val="0"/>
              <w:pageBreakBefore w:val="0"/>
              <w:widowControl w:val="0"/>
              <w:kinsoku/>
              <w:wordWrap/>
              <w:overflowPunct/>
              <w:topLinePunct w:val="0"/>
              <w:autoSpaceDE/>
              <w:autoSpaceDN/>
              <w:bidi w:val="0"/>
              <w:adjustRightInd/>
              <w:snapToGrid w:val="0"/>
              <w:spacing w:after="96" w:line="240" w:lineRule="auto"/>
              <w:textAlignment w:val="auto"/>
              <w:rPr>
                <w:rFonts w:hint="eastAsia" w:ascii="宋体" w:hAnsi="宋体" w:eastAsia="宋体" w:cs="Times New Roman"/>
                <w:b w:val="0"/>
                <w:bCs/>
                <w:color w:val="auto"/>
                <w:sz w:val="24"/>
                <w:szCs w:val="24"/>
                <w:highlight w:val="none"/>
                <w:lang w:eastAsia="zh-CN"/>
              </w:rPr>
            </w:pPr>
            <w:r>
              <w:rPr>
                <w:rFonts w:hint="eastAsia" w:ascii="宋体" w:hAnsi="宋体"/>
                <w:b w:val="0"/>
                <w:bCs/>
                <w:color w:val="auto"/>
                <w:sz w:val="24"/>
                <w:highlight w:val="none"/>
                <w:lang w:eastAsia="zh-CN"/>
              </w:rPr>
              <w:t>未提供则不得分。</w:t>
            </w:r>
          </w:p>
        </w:tc>
      </w:tr>
      <w:tr w14:paraId="685B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0" w:type="dxa"/>
            <w:vMerge w:val="continue"/>
            <w:tcBorders>
              <w:left w:val="single" w:color="auto" w:sz="4" w:space="0"/>
              <w:right w:val="single" w:color="auto" w:sz="4" w:space="0"/>
            </w:tcBorders>
            <w:noWrap w:val="0"/>
            <w:vAlign w:val="center"/>
          </w:tcPr>
          <w:p w14:paraId="14B569FF">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2BDED9CB">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111" w:type="dxa"/>
            <w:tcBorders>
              <w:top w:val="single" w:color="auto" w:sz="4" w:space="0"/>
              <w:left w:val="single" w:color="auto" w:sz="4" w:space="0"/>
              <w:right w:val="single" w:color="auto" w:sz="4" w:space="0"/>
            </w:tcBorders>
            <w:noWrap w:val="0"/>
            <w:vAlign w:val="center"/>
          </w:tcPr>
          <w:p w14:paraId="753720BC">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项目的重点和难点分析</w:t>
            </w:r>
          </w:p>
        </w:tc>
        <w:tc>
          <w:tcPr>
            <w:tcW w:w="565" w:type="dxa"/>
            <w:tcBorders>
              <w:top w:val="single" w:color="auto" w:sz="4" w:space="0"/>
              <w:left w:val="single" w:color="auto" w:sz="4" w:space="0"/>
              <w:right w:val="single" w:color="auto" w:sz="4" w:space="0"/>
            </w:tcBorders>
            <w:noWrap w:val="0"/>
            <w:vAlign w:val="center"/>
          </w:tcPr>
          <w:p w14:paraId="2779885A">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w:t>
            </w:r>
            <w:r>
              <w:rPr>
                <w:rFonts w:hint="eastAsia" w:ascii="宋体" w:hAnsi="宋体" w:cs="Times New Roman"/>
                <w:color w:val="auto"/>
                <w:sz w:val="24"/>
                <w:szCs w:val="24"/>
                <w:highlight w:val="none"/>
                <w:lang w:val="en-US" w:eastAsia="zh-CN"/>
              </w:rPr>
              <w:t>0</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7594A7B6">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对工程的重点和难点进行分析，针对问题逐一提出针对性的解决方案。</w:t>
            </w:r>
          </w:p>
          <w:p w14:paraId="6AABF854">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对工程的重点和难点分析全面且针对性解决方案清晰的得</w:t>
            </w:r>
            <w:r>
              <w:rPr>
                <w:rFonts w:hint="eastAsia" w:ascii="宋体" w:hAnsi="宋体" w:eastAsia="宋体" w:cs="Times New Roman"/>
                <w:color w:val="auto"/>
                <w:sz w:val="24"/>
                <w:szCs w:val="24"/>
                <w:highlight w:val="none"/>
                <w:lang w:val="en-US" w:eastAsia="zh-CN"/>
              </w:rPr>
              <w:t>1</w:t>
            </w:r>
            <w:r>
              <w:rPr>
                <w:rFonts w:hint="eastAsia" w:ascii="宋体" w:hAnsi="宋体" w:cs="Times New Roman"/>
                <w:color w:val="auto"/>
                <w:sz w:val="24"/>
                <w:szCs w:val="24"/>
                <w:highlight w:val="none"/>
                <w:lang w:val="en-US" w:eastAsia="zh-CN"/>
              </w:rPr>
              <w:t>0</w:t>
            </w:r>
            <w:r>
              <w:rPr>
                <w:rFonts w:hint="eastAsia" w:ascii="宋体" w:hAnsi="宋体" w:eastAsia="宋体" w:cs="Times New Roman"/>
                <w:color w:val="auto"/>
                <w:sz w:val="24"/>
                <w:szCs w:val="24"/>
                <w:highlight w:val="none"/>
                <w:lang w:eastAsia="zh-CN"/>
              </w:rPr>
              <w:t>分；</w:t>
            </w:r>
          </w:p>
          <w:p w14:paraId="7FBA42A1">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对工程的重点和难点分析较全面且针对性解决方案较清晰的得</w:t>
            </w: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分；</w:t>
            </w:r>
          </w:p>
          <w:p w14:paraId="2568C7BB">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对工程的重点和难点分析一般且针对性解决方案较一般的得</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分；</w:t>
            </w:r>
          </w:p>
          <w:p w14:paraId="327BD4BB">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未提供则不得分。</w:t>
            </w:r>
          </w:p>
        </w:tc>
      </w:tr>
      <w:tr w14:paraId="3895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40" w:type="dxa"/>
            <w:vMerge w:val="continue"/>
            <w:tcBorders>
              <w:left w:val="single" w:color="auto" w:sz="4" w:space="0"/>
              <w:right w:val="single" w:color="auto" w:sz="4" w:space="0"/>
            </w:tcBorders>
            <w:noWrap w:val="0"/>
            <w:vAlign w:val="center"/>
          </w:tcPr>
          <w:p w14:paraId="74437F82">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3DBDEA5B">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1111" w:type="dxa"/>
            <w:tcBorders>
              <w:top w:val="single" w:color="auto" w:sz="4" w:space="0"/>
              <w:left w:val="single" w:color="auto" w:sz="4" w:space="0"/>
              <w:right w:val="single" w:color="auto" w:sz="4" w:space="0"/>
            </w:tcBorders>
            <w:noWrap w:val="0"/>
            <w:vAlign w:val="center"/>
          </w:tcPr>
          <w:p w14:paraId="756C348C">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项目实施</w:t>
            </w:r>
            <w:r>
              <w:rPr>
                <w:rFonts w:hint="eastAsia" w:ascii="宋体" w:hAnsi="宋体" w:eastAsia="宋体" w:cs="Times New Roman"/>
                <w:color w:val="auto"/>
                <w:sz w:val="24"/>
                <w:szCs w:val="24"/>
                <w:highlight w:val="none"/>
                <w:lang w:eastAsia="zh-CN"/>
              </w:rPr>
              <w:t>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w:t>
            </w:r>
          </w:p>
        </w:tc>
        <w:tc>
          <w:tcPr>
            <w:tcW w:w="565" w:type="dxa"/>
            <w:tcBorders>
              <w:top w:val="single" w:color="auto" w:sz="4" w:space="0"/>
              <w:left w:val="single" w:color="auto" w:sz="4" w:space="0"/>
              <w:right w:val="single" w:color="auto" w:sz="4" w:space="0"/>
            </w:tcBorders>
            <w:noWrap w:val="0"/>
            <w:vAlign w:val="center"/>
          </w:tcPr>
          <w:p w14:paraId="75FED2E5">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10</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4D3336C1">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对提出的有重点、有时序、有步骤，且具有可行性的总体项目</w:t>
            </w:r>
            <w:r>
              <w:rPr>
                <w:rFonts w:hint="eastAsia" w:ascii="宋体" w:hAnsi="宋体" w:eastAsia="宋体" w:cs="Times New Roman"/>
                <w:color w:val="auto"/>
                <w:sz w:val="24"/>
                <w:szCs w:val="24"/>
                <w:highlight w:val="none"/>
                <w:lang w:val="en-US" w:eastAsia="zh-CN"/>
              </w:rPr>
              <w:t>实施</w:t>
            </w:r>
            <w:r>
              <w:rPr>
                <w:rFonts w:hint="eastAsia" w:ascii="宋体" w:hAnsi="宋体" w:eastAsia="宋体" w:cs="Times New Roman"/>
                <w:color w:val="auto"/>
                <w:sz w:val="24"/>
                <w:szCs w:val="24"/>
                <w:highlight w:val="none"/>
                <w:lang w:eastAsia="zh-CN"/>
              </w:rPr>
              <w:t>进度安排。提出程序规范、措施有力、质量控制点设置合理的</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w:t>
            </w:r>
            <w:r>
              <w:rPr>
                <w:rFonts w:hint="eastAsia" w:ascii="宋体" w:hAnsi="宋体" w:eastAsia="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eastAsia="zh-CN"/>
              </w:rPr>
              <w:t>实施进度安排与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质量保证措施齐全无缺项，可操作性强的得</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eastAsia="zh-CN"/>
              </w:rPr>
              <w:t>分：</w:t>
            </w:r>
          </w:p>
          <w:p w14:paraId="35480965">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eastAsia="zh-CN"/>
              </w:rPr>
              <w:t>实施进度安排与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质量保证措施内容较完整，可操作性较强的得</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分：</w:t>
            </w:r>
          </w:p>
          <w:p w14:paraId="7326D61F">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eastAsia="zh-CN"/>
              </w:rPr>
              <w:t>实施进度安排与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质量保证措施内容基本完整，可操作性一般的得</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分；</w:t>
            </w:r>
          </w:p>
          <w:p w14:paraId="1A099A1C">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eastAsia="zh-CN"/>
              </w:rPr>
              <w:t>未提供则不得分。</w:t>
            </w:r>
          </w:p>
        </w:tc>
      </w:tr>
      <w:tr w14:paraId="269D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040" w:type="dxa"/>
            <w:vMerge w:val="continue"/>
            <w:tcBorders>
              <w:left w:val="single" w:color="auto" w:sz="4" w:space="0"/>
              <w:right w:val="single" w:color="auto" w:sz="4" w:space="0"/>
            </w:tcBorders>
            <w:noWrap w:val="0"/>
            <w:vAlign w:val="center"/>
          </w:tcPr>
          <w:p w14:paraId="19FA30DD">
            <w:pPr>
              <w:jc w:val="center"/>
              <w:rPr>
                <w:rFonts w:hint="eastAsia" w:ascii="宋体" w:hAnsi="宋体"/>
                <w:color w:val="auto"/>
                <w:sz w:val="24"/>
                <w:szCs w:val="24"/>
                <w:highlight w:val="none"/>
              </w:rPr>
            </w:pPr>
          </w:p>
        </w:tc>
        <w:tc>
          <w:tcPr>
            <w:tcW w:w="556" w:type="dxa"/>
            <w:tcBorders>
              <w:top w:val="single" w:color="auto" w:sz="4" w:space="0"/>
              <w:left w:val="single" w:color="auto" w:sz="4" w:space="0"/>
              <w:right w:val="single" w:color="auto" w:sz="4" w:space="0"/>
            </w:tcBorders>
            <w:noWrap w:val="0"/>
            <w:vAlign w:val="center"/>
          </w:tcPr>
          <w:p w14:paraId="5221FD9D">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1111" w:type="dxa"/>
            <w:tcBorders>
              <w:top w:val="single" w:color="auto" w:sz="4" w:space="0"/>
              <w:left w:val="single" w:color="auto" w:sz="4" w:space="0"/>
              <w:right w:val="single" w:color="auto" w:sz="4" w:space="0"/>
            </w:tcBorders>
            <w:noWrap w:val="0"/>
            <w:vAlign w:val="center"/>
          </w:tcPr>
          <w:p w14:paraId="26DDD400">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eastAsia="zh-CN"/>
              </w:rPr>
              <w:t>相关服务承诺</w:t>
            </w:r>
          </w:p>
        </w:tc>
        <w:tc>
          <w:tcPr>
            <w:tcW w:w="565" w:type="dxa"/>
            <w:tcBorders>
              <w:top w:val="single" w:color="auto" w:sz="4" w:space="0"/>
              <w:left w:val="single" w:color="auto" w:sz="4" w:space="0"/>
              <w:right w:val="single" w:color="auto" w:sz="4" w:space="0"/>
            </w:tcBorders>
            <w:noWrap w:val="0"/>
            <w:vAlign w:val="center"/>
          </w:tcPr>
          <w:p w14:paraId="391CAB00">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szCs w:val="24"/>
                <w:highlight w:val="none"/>
                <w:lang w:val="en-US" w:eastAsia="zh-CN"/>
              </w:rPr>
              <w:t>9</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37ED23B0">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对提出的有利于项目建设及积极配合招标人对项目管理的服务承诺。</w:t>
            </w:r>
          </w:p>
          <w:p w14:paraId="48652280">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服务承诺针对性及可操作性强的得</w:t>
            </w:r>
            <w:r>
              <w:rPr>
                <w:rFonts w:hint="eastAsia" w:ascii="宋体" w:hAnsi="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eastAsia="zh-CN"/>
              </w:rPr>
              <w:t>分：</w:t>
            </w:r>
          </w:p>
          <w:p w14:paraId="1871FD77">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服务承诺针对性及可操作性较强的得</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分：</w:t>
            </w:r>
          </w:p>
          <w:p w14:paraId="3EABA504">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服务承诺针对性及可操作性较一般的得</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分；</w:t>
            </w:r>
          </w:p>
          <w:p w14:paraId="0CAFC24F">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eastAsia="zh-CN"/>
              </w:rPr>
              <w:t>未提供则不得分。</w:t>
            </w:r>
          </w:p>
        </w:tc>
      </w:tr>
      <w:tr w14:paraId="3FF4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40" w:type="dxa"/>
            <w:vMerge w:val="restart"/>
            <w:tcBorders>
              <w:left w:val="single" w:color="auto" w:sz="4" w:space="0"/>
              <w:right w:val="single" w:color="auto" w:sz="4" w:space="0"/>
            </w:tcBorders>
            <w:noWrap w:val="0"/>
            <w:vAlign w:val="center"/>
          </w:tcPr>
          <w:p w14:paraId="3135FCBF">
            <w:pPr>
              <w:jc w:val="center"/>
              <w:rPr>
                <w:rFonts w:ascii="宋体" w:hAnsi="宋体"/>
                <w:color w:val="auto"/>
                <w:sz w:val="24"/>
                <w:szCs w:val="24"/>
                <w:highlight w:val="none"/>
              </w:rPr>
            </w:pPr>
            <w:r>
              <w:rPr>
                <w:rFonts w:hint="eastAsia" w:ascii="宋体" w:hAnsi="宋体"/>
                <w:color w:val="auto"/>
                <w:sz w:val="24"/>
                <w:szCs w:val="24"/>
                <w:highlight w:val="none"/>
              </w:rPr>
              <w:t>客观评审因素</w:t>
            </w:r>
          </w:p>
          <w:p w14:paraId="4A1D092F">
            <w:pPr>
              <w:overflowPunct w:val="0"/>
              <w:autoSpaceDE w:val="0"/>
              <w:autoSpaceDN w:val="0"/>
              <w:adjustRightInd w:val="0"/>
              <w:jc w:val="center"/>
              <w:textAlignment w:val="baseline"/>
              <w:rPr>
                <w:rFonts w:ascii="宋体" w:hAnsi="宋体"/>
                <w:color w:val="auto"/>
                <w:kern w:val="28"/>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3BD8CD8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D9EFF4E">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业绩</w:t>
            </w:r>
          </w:p>
        </w:tc>
        <w:tc>
          <w:tcPr>
            <w:tcW w:w="565" w:type="dxa"/>
            <w:tcBorders>
              <w:top w:val="single" w:color="auto" w:sz="4" w:space="0"/>
              <w:left w:val="single" w:color="auto" w:sz="4" w:space="0"/>
              <w:bottom w:val="single" w:color="auto" w:sz="4" w:space="0"/>
              <w:right w:val="single" w:color="auto" w:sz="4" w:space="0"/>
            </w:tcBorders>
            <w:noWrap w:val="0"/>
            <w:vAlign w:val="center"/>
          </w:tcPr>
          <w:p w14:paraId="16A6296E">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15</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02BBB07D">
            <w:pPr>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供应商近三年</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以合同签订时间为准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完成过类似的项目业绩，有一个得</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分，最高</w:t>
            </w:r>
            <w:r>
              <w:rPr>
                <w:rFonts w:hint="eastAsia" w:ascii="宋体" w:hAnsi="宋体" w:eastAsia="宋体" w:cs="Times New Roman"/>
                <w:color w:val="auto"/>
                <w:sz w:val="24"/>
                <w:szCs w:val="24"/>
                <w:highlight w:val="none"/>
                <w:lang w:val="en-US" w:eastAsia="zh-CN"/>
              </w:rPr>
              <w:t>得15</w:t>
            </w:r>
            <w:r>
              <w:rPr>
                <w:rFonts w:hint="eastAsia" w:ascii="宋体" w:hAnsi="宋体" w:eastAsia="宋体" w:cs="Times New Roman"/>
                <w:color w:val="auto"/>
                <w:sz w:val="24"/>
                <w:szCs w:val="24"/>
                <w:highlight w:val="none"/>
              </w:rPr>
              <w:t>分。</w:t>
            </w:r>
          </w:p>
          <w:p w14:paraId="3D0C1FD3">
            <w:pPr>
              <w:pStyle w:val="2"/>
              <w:rPr>
                <w:rFonts w:hint="eastAsia"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rPr>
              <w:t>注：须</w:t>
            </w:r>
            <w:r>
              <w:rPr>
                <w:rFonts w:hint="eastAsia" w:ascii="宋体" w:hAnsi="宋体" w:eastAsia="宋体" w:cs="Times New Roman"/>
                <w:b/>
                <w:bCs/>
                <w:color w:val="auto"/>
                <w:sz w:val="24"/>
                <w:szCs w:val="24"/>
                <w:highlight w:val="none"/>
                <w:lang w:val="zh-TW"/>
              </w:rPr>
              <w:t>提供合同复印件</w:t>
            </w:r>
            <w:r>
              <w:rPr>
                <w:rFonts w:hint="eastAsia" w:ascii="宋体" w:hAnsi="宋体" w:eastAsia="宋体" w:cs="Times New Roman"/>
                <w:b/>
                <w:bCs/>
                <w:color w:val="auto"/>
                <w:sz w:val="24"/>
                <w:szCs w:val="24"/>
                <w:highlight w:val="none"/>
                <w:lang w:val="en-US" w:eastAsia="zh-CN"/>
              </w:rPr>
              <w:t>及市政府出具的意见</w:t>
            </w:r>
            <w:r>
              <w:rPr>
                <w:rFonts w:hint="eastAsia" w:ascii="宋体" w:hAnsi="宋体" w:eastAsia="宋体" w:cs="Times New Roman"/>
                <w:b/>
                <w:bCs/>
                <w:color w:val="auto"/>
                <w:sz w:val="24"/>
                <w:szCs w:val="24"/>
                <w:highlight w:val="none"/>
                <w:lang w:val="zh-TW" w:eastAsia="zh-CN"/>
              </w:rPr>
              <w:t>并加盖投标人公章附于投标文件中</w:t>
            </w:r>
            <w:r>
              <w:rPr>
                <w:rFonts w:hint="eastAsia" w:ascii="宋体" w:hAnsi="宋体" w:eastAsia="宋体" w:cs="Times New Roman"/>
                <w:b/>
                <w:bCs/>
                <w:color w:val="auto"/>
                <w:sz w:val="24"/>
                <w:szCs w:val="24"/>
                <w:highlight w:val="none"/>
                <w:lang w:val="zh-TW"/>
              </w:rPr>
              <w:t>，否则不得分。</w:t>
            </w:r>
          </w:p>
        </w:tc>
      </w:tr>
      <w:tr w14:paraId="6569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40" w:type="dxa"/>
            <w:vMerge w:val="continue"/>
            <w:tcBorders>
              <w:left w:val="single" w:color="auto" w:sz="4" w:space="0"/>
              <w:right w:val="single" w:color="auto" w:sz="4" w:space="0"/>
            </w:tcBorders>
            <w:noWrap w:val="0"/>
            <w:vAlign w:val="center"/>
          </w:tcPr>
          <w:p w14:paraId="4B406DA4">
            <w:pPr>
              <w:jc w:val="center"/>
              <w:rPr>
                <w:rFonts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67AEA5FF">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1634105">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项目人员配备</w:t>
            </w:r>
          </w:p>
        </w:tc>
        <w:tc>
          <w:tcPr>
            <w:tcW w:w="565" w:type="dxa"/>
            <w:tcBorders>
              <w:top w:val="single" w:color="auto" w:sz="4" w:space="0"/>
              <w:left w:val="single" w:color="auto" w:sz="4" w:space="0"/>
              <w:bottom w:val="single" w:color="auto" w:sz="4" w:space="0"/>
              <w:right w:val="single" w:color="auto" w:sz="4" w:space="0"/>
            </w:tcBorders>
            <w:noWrap w:val="0"/>
            <w:vAlign w:val="center"/>
          </w:tcPr>
          <w:p w14:paraId="473DEC76">
            <w:pPr>
              <w:jc w:val="center"/>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11</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7A8E349C">
            <w:pPr>
              <w:jc w:val="both"/>
              <w:rPr>
                <w:rFonts w:hint="eastAsia" w:ascii="宋体" w:hAnsi="宋体" w:eastAsia="宋体" w:cs="Times New Roman"/>
                <w:b w:val="0"/>
                <w:bCs w:val="0"/>
                <w:color w:val="auto"/>
                <w:sz w:val="24"/>
                <w:szCs w:val="24"/>
                <w:highlight w:val="none"/>
                <w:lang w:eastAsia="zh-CN"/>
              </w:rPr>
            </w:pPr>
            <w:r>
              <w:rPr>
                <w:rFonts w:hint="eastAsia" w:ascii="宋体" w:hAnsi="宋体" w:eastAsia="宋体" w:cs="Times New Roman"/>
                <w:b w:val="0"/>
                <w:bCs w:val="0"/>
                <w:color w:val="auto"/>
                <w:sz w:val="24"/>
                <w:szCs w:val="24"/>
                <w:highlight w:val="none"/>
              </w:rPr>
              <w:t>①拟派项目负责人：具备</w:t>
            </w:r>
            <w:r>
              <w:rPr>
                <w:rFonts w:hint="eastAsia" w:ascii="宋体" w:hAnsi="宋体" w:eastAsia="宋体" w:cs="Times New Roman"/>
                <w:b w:val="0"/>
                <w:bCs w:val="0"/>
                <w:color w:val="auto"/>
                <w:sz w:val="24"/>
                <w:szCs w:val="24"/>
                <w:highlight w:val="none"/>
                <w:lang w:val="zh-CN"/>
              </w:rPr>
              <w:t>土地</w:t>
            </w:r>
            <w:r>
              <w:rPr>
                <w:rFonts w:hint="eastAsia" w:ascii="宋体" w:hAnsi="宋体" w:eastAsia="宋体" w:cs="Times New Roman"/>
                <w:b w:val="0"/>
                <w:bCs w:val="0"/>
                <w:color w:val="auto"/>
                <w:sz w:val="24"/>
                <w:szCs w:val="24"/>
                <w:highlight w:val="none"/>
                <w:lang w:val="en-US" w:eastAsia="zh-CN"/>
              </w:rPr>
              <w:t>或规划或水利</w:t>
            </w:r>
            <w:r>
              <w:rPr>
                <w:rFonts w:hint="eastAsia" w:ascii="宋体" w:hAnsi="宋体" w:eastAsia="宋体" w:cs="Times New Roman"/>
                <w:b w:val="0"/>
                <w:bCs w:val="0"/>
                <w:color w:val="auto"/>
                <w:sz w:val="24"/>
                <w:szCs w:val="24"/>
                <w:highlight w:val="none"/>
              </w:rPr>
              <w:t>专业高级及以上技术职称的得</w:t>
            </w:r>
            <w:r>
              <w:rPr>
                <w:rFonts w:hint="eastAsia" w:ascii="宋体" w:hAnsi="宋体" w:eastAsia="宋体" w:cs="Times New Roman"/>
                <w:b w:val="0"/>
                <w:bCs w:val="0"/>
                <w:color w:val="auto"/>
                <w:sz w:val="24"/>
                <w:szCs w:val="24"/>
                <w:highlight w:val="none"/>
                <w:lang w:val="en-US" w:eastAsia="zh-CN"/>
              </w:rPr>
              <w:t>5</w:t>
            </w:r>
            <w:r>
              <w:rPr>
                <w:rFonts w:hint="eastAsia" w:ascii="宋体" w:hAnsi="宋体" w:eastAsia="宋体" w:cs="Times New Roman"/>
                <w:b w:val="0"/>
                <w:bCs w:val="0"/>
                <w:color w:val="auto"/>
                <w:sz w:val="24"/>
                <w:szCs w:val="24"/>
                <w:highlight w:val="none"/>
              </w:rPr>
              <w:t>分</w:t>
            </w:r>
            <w:r>
              <w:rPr>
                <w:rFonts w:hint="eastAsia" w:ascii="宋体" w:hAnsi="宋体" w:eastAsia="宋体" w:cs="Times New Roman"/>
                <w:b w:val="0"/>
                <w:bCs w:val="0"/>
                <w:color w:val="auto"/>
                <w:sz w:val="24"/>
                <w:szCs w:val="24"/>
                <w:highlight w:val="none"/>
                <w:lang w:eastAsia="zh-CN"/>
              </w:rPr>
              <w:t>，具备</w:t>
            </w:r>
            <w:r>
              <w:rPr>
                <w:rFonts w:hint="eastAsia" w:ascii="宋体" w:hAnsi="宋体" w:eastAsia="宋体" w:cs="Times New Roman"/>
                <w:b w:val="0"/>
                <w:bCs w:val="0"/>
                <w:color w:val="auto"/>
                <w:sz w:val="24"/>
                <w:szCs w:val="24"/>
                <w:highlight w:val="none"/>
                <w:lang w:val="en-US" w:eastAsia="zh-CN"/>
              </w:rPr>
              <w:t>中级</w:t>
            </w:r>
            <w:r>
              <w:rPr>
                <w:rFonts w:hint="eastAsia" w:ascii="宋体" w:hAnsi="宋体" w:eastAsia="宋体" w:cs="Times New Roman"/>
                <w:b w:val="0"/>
                <w:bCs w:val="0"/>
                <w:color w:val="auto"/>
                <w:sz w:val="24"/>
                <w:szCs w:val="24"/>
                <w:highlight w:val="none"/>
                <w:lang w:eastAsia="zh-CN"/>
              </w:rPr>
              <w:t>技术职称的得</w:t>
            </w:r>
            <w:r>
              <w:rPr>
                <w:rFonts w:hint="eastAsia" w:ascii="宋体" w:hAnsi="宋体" w:eastAsia="宋体" w:cs="Times New Roman"/>
                <w:b w:val="0"/>
                <w:bCs w:val="0"/>
                <w:color w:val="auto"/>
                <w:sz w:val="24"/>
                <w:szCs w:val="24"/>
                <w:highlight w:val="none"/>
                <w:lang w:val="en-US" w:eastAsia="zh-CN"/>
              </w:rPr>
              <w:t>3</w:t>
            </w:r>
            <w:r>
              <w:rPr>
                <w:rFonts w:hint="eastAsia" w:ascii="宋体" w:hAnsi="宋体" w:eastAsia="宋体" w:cs="Times New Roman"/>
                <w:b w:val="0"/>
                <w:bCs w:val="0"/>
                <w:color w:val="auto"/>
                <w:sz w:val="24"/>
                <w:szCs w:val="24"/>
                <w:highlight w:val="none"/>
                <w:lang w:eastAsia="zh-CN"/>
              </w:rPr>
              <w:t>分。</w:t>
            </w:r>
          </w:p>
          <w:p w14:paraId="232A88C5">
            <w:pPr>
              <w:jc w:val="both"/>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②拟派项目组成员中</w:t>
            </w:r>
            <w:r>
              <w:rPr>
                <w:rFonts w:hint="eastAsia" w:ascii="宋体" w:hAnsi="宋体" w:eastAsia="宋体" w:cs="Times New Roman"/>
                <w:b w:val="0"/>
                <w:bCs w:val="0"/>
                <w:color w:val="auto"/>
                <w:sz w:val="24"/>
                <w:szCs w:val="24"/>
                <w:highlight w:val="none"/>
                <w:lang w:eastAsia="zh-CN"/>
              </w:rPr>
              <w:t>（</w:t>
            </w:r>
            <w:r>
              <w:rPr>
                <w:rFonts w:hint="eastAsia" w:ascii="宋体" w:hAnsi="宋体" w:eastAsia="宋体" w:cs="Times New Roman"/>
                <w:b w:val="0"/>
                <w:bCs w:val="0"/>
                <w:color w:val="auto"/>
                <w:sz w:val="24"/>
                <w:szCs w:val="24"/>
                <w:highlight w:val="none"/>
                <w:lang w:val="en-US" w:eastAsia="zh-CN"/>
              </w:rPr>
              <w:t>除项目负责人外，成员不少于3人</w:t>
            </w:r>
            <w:r>
              <w:rPr>
                <w:rFonts w:hint="eastAsia" w:ascii="宋体" w:hAnsi="宋体" w:eastAsia="宋体" w:cs="Times New Roman"/>
                <w:b w:val="0"/>
                <w:bCs w:val="0"/>
                <w:color w:val="auto"/>
                <w:sz w:val="24"/>
                <w:szCs w:val="24"/>
                <w:highlight w:val="none"/>
                <w:lang w:eastAsia="zh-CN"/>
              </w:rPr>
              <w:t>）</w:t>
            </w:r>
            <w:r>
              <w:rPr>
                <w:rFonts w:hint="eastAsia" w:ascii="宋体" w:hAnsi="宋体" w:eastAsia="宋体" w:cs="Times New Roman"/>
                <w:b w:val="0"/>
                <w:bCs w:val="0"/>
                <w:color w:val="auto"/>
                <w:sz w:val="24"/>
                <w:szCs w:val="24"/>
                <w:highlight w:val="none"/>
              </w:rPr>
              <w:t>：具有</w:t>
            </w:r>
            <w:r>
              <w:rPr>
                <w:rFonts w:hint="eastAsia" w:ascii="宋体" w:hAnsi="宋体" w:eastAsia="宋体" w:cs="Times New Roman"/>
                <w:b w:val="0"/>
                <w:bCs w:val="0"/>
                <w:color w:val="auto"/>
                <w:sz w:val="24"/>
                <w:szCs w:val="24"/>
                <w:highlight w:val="none"/>
                <w:lang w:val="zh-CN"/>
              </w:rPr>
              <w:t>土地</w:t>
            </w:r>
            <w:r>
              <w:rPr>
                <w:rFonts w:hint="eastAsia" w:ascii="宋体" w:hAnsi="宋体" w:eastAsia="宋体" w:cs="Times New Roman"/>
                <w:b w:val="0"/>
                <w:bCs w:val="0"/>
                <w:color w:val="auto"/>
                <w:sz w:val="24"/>
                <w:szCs w:val="24"/>
                <w:highlight w:val="none"/>
                <w:lang w:val="en-US" w:eastAsia="zh-CN"/>
              </w:rPr>
              <w:t>或规划或水利</w:t>
            </w:r>
            <w:r>
              <w:rPr>
                <w:rFonts w:hint="eastAsia" w:ascii="宋体" w:hAnsi="宋体" w:eastAsia="宋体" w:cs="Times New Roman"/>
                <w:b w:val="0"/>
                <w:bCs w:val="0"/>
                <w:color w:val="auto"/>
                <w:sz w:val="24"/>
                <w:szCs w:val="24"/>
                <w:highlight w:val="none"/>
              </w:rPr>
              <w:t>专业</w:t>
            </w:r>
            <w:r>
              <w:rPr>
                <w:rFonts w:hint="eastAsia" w:ascii="宋体" w:hAnsi="宋体" w:eastAsia="宋体" w:cs="Times New Roman"/>
                <w:b w:val="0"/>
                <w:bCs w:val="0"/>
                <w:color w:val="auto"/>
                <w:sz w:val="24"/>
                <w:szCs w:val="24"/>
                <w:highlight w:val="none"/>
                <w:lang w:val="en-US" w:eastAsia="zh-CN"/>
              </w:rPr>
              <w:t>中级</w:t>
            </w:r>
            <w:r>
              <w:rPr>
                <w:rFonts w:hint="eastAsia" w:ascii="宋体" w:hAnsi="宋体" w:eastAsia="宋体" w:cs="Times New Roman"/>
                <w:b w:val="0"/>
                <w:bCs w:val="0"/>
                <w:color w:val="auto"/>
                <w:sz w:val="24"/>
                <w:szCs w:val="24"/>
                <w:highlight w:val="none"/>
              </w:rPr>
              <w:t>（含）以上职称的，每提供1个职称证书得</w:t>
            </w:r>
            <w:r>
              <w:rPr>
                <w:rFonts w:hint="eastAsia" w:ascii="宋体" w:hAnsi="宋体" w:eastAsia="宋体" w:cs="Times New Roman"/>
                <w:b w:val="0"/>
                <w:bCs w:val="0"/>
                <w:color w:val="auto"/>
                <w:sz w:val="24"/>
                <w:szCs w:val="24"/>
                <w:highlight w:val="none"/>
                <w:lang w:val="en-US" w:eastAsia="zh-CN"/>
              </w:rPr>
              <w:t>2</w:t>
            </w:r>
            <w:r>
              <w:rPr>
                <w:rFonts w:hint="eastAsia" w:ascii="宋体" w:hAnsi="宋体" w:eastAsia="宋体" w:cs="Times New Roman"/>
                <w:b w:val="0"/>
                <w:bCs w:val="0"/>
                <w:color w:val="auto"/>
                <w:sz w:val="24"/>
                <w:szCs w:val="24"/>
                <w:highlight w:val="none"/>
              </w:rPr>
              <w:t>分，本项最高得</w:t>
            </w:r>
            <w:r>
              <w:rPr>
                <w:rFonts w:hint="eastAsia" w:ascii="宋体" w:hAnsi="宋体" w:eastAsia="宋体" w:cs="Times New Roman"/>
                <w:b w:val="0"/>
                <w:bCs w:val="0"/>
                <w:color w:val="auto"/>
                <w:sz w:val="24"/>
                <w:szCs w:val="24"/>
                <w:highlight w:val="none"/>
                <w:lang w:val="en-US" w:eastAsia="zh-CN"/>
              </w:rPr>
              <w:t>6</w:t>
            </w:r>
            <w:r>
              <w:rPr>
                <w:rFonts w:hint="eastAsia" w:ascii="宋体" w:hAnsi="宋体" w:eastAsia="宋体" w:cs="Times New Roman"/>
                <w:b w:val="0"/>
                <w:bCs w:val="0"/>
                <w:color w:val="auto"/>
                <w:sz w:val="24"/>
                <w:szCs w:val="24"/>
                <w:highlight w:val="none"/>
              </w:rPr>
              <w:t>分；</w:t>
            </w:r>
          </w:p>
          <w:p w14:paraId="708461AF">
            <w:pPr>
              <w:jc w:val="both"/>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rPr>
              <w:t>注：</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1</w:t>
            </w:r>
            <w:r>
              <w:rPr>
                <w:rFonts w:hint="eastAsia" w:ascii="宋体" w:hAnsi="宋体" w:eastAsia="宋体" w:cs="Times New Roman"/>
                <w:b/>
                <w:bCs/>
                <w:color w:val="auto"/>
                <w:sz w:val="24"/>
                <w:szCs w:val="24"/>
                <w:highlight w:val="none"/>
                <w:lang w:eastAsia="zh-CN"/>
              </w:rPr>
              <w:t>）如职称证书未体现专业的，须同时提供获得职称证书前有关专业的证明材料（如毕业证书</w:t>
            </w:r>
            <w:r>
              <w:rPr>
                <w:rFonts w:hint="eastAsia" w:ascii="宋体" w:hAnsi="宋体" w:cs="Times New Roman"/>
                <w:b/>
                <w:bCs/>
                <w:color w:val="auto"/>
                <w:sz w:val="24"/>
                <w:szCs w:val="24"/>
                <w:highlight w:val="none"/>
                <w:lang w:val="en-US" w:eastAsia="zh-CN"/>
              </w:rPr>
              <w:t>或</w:t>
            </w:r>
            <w:r>
              <w:rPr>
                <w:rFonts w:hint="eastAsia" w:ascii="宋体" w:hAnsi="宋体" w:eastAsia="宋体" w:cs="Times New Roman"/>
                <w:b/>
                <w:bCs/>
                <w:color w:val="auto"/>
                <w:sz w:val="24"/>
                <w:szCs w:val="24"/>
                <w:highlight w:val="none"/>
                <w:lang w:eastAsia="zh-CN"/>
              </w:rPr>
              <w:t>经评审委员会评审通过的《专业技术资格评审申报表》等），其有效性由评标委员会评审。</w:t>
            </w:r>
          </w:p>
          <w:p w14:paraId="7EF17CA1">
            <w:pPr>
              <w:jc w:val="both"/>
              <w:rPr>
                <w:rFonts w:hint="eastAsia"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rPr>
              <w:t>以上人员必须为在职非退休人员，且须提供本单位为其近三个月内任意一个月缴纳的社保证明等证明材料复印件。</w:t>
            </w:r>
          </w:p>
        </w:tc>
      </w:tr>
    </w:tbl>
    <w:p w14:paraId="348A7FAC">
      <w:pPr>
        <w:spacing w:line="360" w:lineRule="auto"/>
        <w:rPr>
          <w:rFonts w:hint="eastAsia" w:ascii="宋体" w:hAnsi="宋体"/>
          <w:color w:val="auto"/>
          <w:sz w:val="24"/>
          <w:szCs w:val="24"/>
          <w:highlight w:val="none"/>
        </w:rPr>
      </w:pPr>
    </w:p>
    <w:p w14:paraId="6DC84D9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2、价格部分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55"/>
        <w:gridCol w:w="935"/>
        <w:gridCol w:w="6043"/>
      </w:tblGrid>
      <w:tr w14:paraId="36F1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952A6D5">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455" w:type="dxa"/>
            <w:tcBorders>
              <w:top w:val="single" w:color="auto" w:sz="4" w:space="0"/>
              <w:left w:val="single" w:color="auto" w:sz="4" w:space="0"/>
              <w:right w:val="single" w:color="auto" w:sz="4" w:space="0"/>
            </w:tcBorders>
            <w:noWrap w:val="0"/>
            <w:vAlign w:val="center"/>
          </w:tcPr>
          <w:p w14:paraId="794587BB">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935" w:type="dxa"/>
            <w:tcBorders>
              <w:top w:val="single" w:color="auto" w:sz="4" w:space="0"/>
              <w:left w:val="single" w:color="auto" w:sz="4" w:space="0"/>
              <w:right w:val="single" w:color="auto" w:sz="4" w:space="0"/>
            </w:tcBorders>
            <w:noWrap w:val="0"/>
            <w:vAlign w:val="center"/>
          </w:tcPr>
          <w:p w14:paraId="4EB7AAA6">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017F220D">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r>
      <w:tr w14:paraId="530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273D6DF">
            <w:pPr>
              <w:jc w:val="center"/>
              <w:rPr>
                <w:rFonts w:hint="eastAsia" w:ascii="宋体" w:hAnsi="宋体"/>
                <w:color w:val="auto"/>
                <w:sz w:val="24"/>
                <w:szCs w:val="24"/>
                <w:highlight w:val="none"/>
              </w:rPr>
            </w:pPr>
            <w:r>
              <w:rPr>
                <w:rFonts w:hint="eastAsia" w:ascii="宋体" w:hAnsi="宋体" w:cs="宋体"/>
                <w:color w:val="auto"/>
                <w:sz w:val="24"/>
                <w:highlight w:val="none"/>
              </w:rPr>
              <w:t>1</w:t>
            </w:r>
          </w:p>
        </w:tc>
        <w:tc>
          <w:tcPr>
            <w:tcW w:w="1455" w:type="dxa"/>
            <w:tcBorders>
              <w:top w:val="single" w:color="auto" w:sz="4" w:space="0"/>
              <w:left w:val="single" w:color="auto" w:sz="4" w:space="0"/>
              <w:right w:val="single" w:color="auto" w:sz="4" w:space="0"/>
            </w:tcBorders>
            <w:noWrap w:val="0"/>
            <w:vAlign w:val="center"/>
          </w:tcPr>
          <w:p w14:paraId="2E0BF3DD">
            <w:pPr>
              <w:jc w:val="center"/>
              <w:rPr>
                <w:rFonts w:hint="eastAsia" w:ascii="宋体" w:hAnsi="宋体"/>
                <w:color w:val="auto"/>
                <w:sz w:val="24"/>
                <w:szCs w:val="24"/>
                <w:highlight w:val="none"/>
              </w:rPr>
            </w:pPr>
            <w:r>
              <w:rPr>
                <w:rFonts w:hint="eastAsia" w:ascii="宋体" w:hAnsi="宋体" w:cs="宋体"/>
                <w:color w:val="auto"/>
                <w:sz w:val="24"/>
                <w:highlight w:val="none"/>
              </w:rPr>
              <w:t>价格部分</w:t>
            </w:r>
          </w:p>
        </w:tc>
        <w:tc>
          <w:tcPr>
            <w:tcW w:w="935" w:type="dxa"/>
            <w:tcBorders>
              <w:top w:val="single" w:color="auto" w:sz="4" w:space="0"/>
              <w:left w:val="single" w:color="auto" w:sz="4" w:space="0"/>
              <w:right w:val="single" w:color="auto" w:sz="4" w:space="0"/>
            </w:tcBorders>
            <w:noWrap w:val="0"/>
            <w:vAlign w:val="center"/>
          </w:tcPr>
          <w:p w14:paraId="12842973">
            <w:pPr>
              <w:ind w:firstLine="240" w:firstLineChars="100"/>
              <w:rPr>
                <w:rFonts w:hint="default" w:ascii="宋体" w:hAnsi="宋体" w:eastAsia="宋体"/>
                <w:color w:val="auto"/>
                <w:sz w:val="24"/>
                <w:szCs w:val="24"/>
                <w:highlight w:val="none"/>
                <w:lang w:val="en-US" w:eastAsia="zh-CN"/>
              </w:rPr>
            </w:pPr>
            <w:r>
              <w:rPr>
                <w:rFonts w:hint="eastAsia" w:ascii="宋体" w:hAnsi="宋体" w:cs="宋体"/>
                <w:color w:val="auto"/>
                <w:sz w:val="24"/>
                <w:highlight w:val="none"/>
                <w:lang w:val="en-US" w:eastAsia="zh-CN"/>
              </w:rPr>
              <w:t>20</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63748C14">
            <w:pPr>
              <w:keepNext w:val="0"/>
              <w:keepLines w:val="0"/>
              <w:pageBreakBefore w:val="0"/>
              <w:widowControl w:val="0"/>
              <w:shd w:val="clear" w:color="auto" w:fill="FFFFFF"/>
              <w:kinsoku/>
              <w:wordWrap/>
              <w:overflowPunct/>
              <w:topLinePunct w:val="0"/>
              <w:autoSpaceDE/>
              <w:autoSpaceDN/>
              <w:bidi w:val="0"/>
              <w:adjustRightInd/>
              <w:snapToGrid w:val="0"/>
              <w:spacing w:line="240" w:lineRule="auto"/>
              <w:textAlignment w:val="auto"/>
              <w:rPr>
                <w:rFonts w:hint="default" w:eastAsia="宋体"/>
                <w:color w:val="auto"/>
                <w:sz w:val="21"/>
                <w:szCs w:val="28"/>
                <w:highlight w:val="none"/>
                <w:shd w:val="clear" w:color="auto" w:fill="FFFFFF"/>
                <w:lang w:val="en-US" w:eastAsia="zh-CN"/>
              </w:rPr>
            </w:pPr>
            <w:r>
              <w:rPr>
                <w:rFonts w:hint="eastAsia" w:ascii="宋体"/>
                <w:color w:val="auto"/>
                <w:sz w:val="24"/>
                <w:szCs w:val="24"/>
                <w:highlight w:val="none"/>
              </w:rPr>
              <w:t>采用低价优先法计算，即满足</w:t>
            </w:r>
            <w:r>
              <w:rPr>
                <w:rFonts w:hint="eastAsia" w:ascii="宋体"/>
                <w:color w:val="auto"/>
                <w:sz w:val="24"/>
                <w:szCs w:val="24"/>
                <w:highlight w:val="none"/>
                <w:lang w:val="en-US" w:eastAsia="zh-CN"/>
              </w:rPr>
              <w:t>招标文件</w:t>
            </w:r>
            <w:r>
              <w:rPr>
                <w:rFonts w:hint="eastAsia" w:ascii="宋体"/>
                <w:color w:val="auto"/>
                <w:sz w:val="24"/>
                <w:szCs w:val="24"/>
                <w:highlight w:val="none"/>
              </w:rPr>
              <w:t>要求且投标价格最低的报价为评标基准价，其价格分为</w:t>
            </w:r>
            <w:r>
              <w:rPr>
                <w:rFonts w:hint="eastAsia" w:ascii="宋体"/>
                <w:color w:val="auto"/>
                <w:sz w:val="24"/>
                <w:szCs w:val="24"/>
                <w:highlight w:val="none"/>
                <w:lang w:val="en-US" w:eastAsia="zh-CN"/>
              </w:rPr>
              <w:t>20</w:t>
            </w:r>
            <w:r>
              <w:rPr>
                <w:rFonts w:hint="eastAsia" w:ascii="宋体"/>
                <w:color w:val="auto"/>
                <w:sz w:val="24"/>
                <w:szCs w:val="24"/>
                <w:highlight w:val="none"/>
              </w:rPr>
              <w:t>分。其他投标供应商的价格分统一按照下列公式计算:投标报价得分=(评标基准价/投标报价)×</w:t>
            </w:r>
            <w:r>
              <w:rPr>
                <w:rFonts w:hint="eastAsia" w:ascii="宋体"/>
                <w:color w:val="auto"/>
                <w:sz w:val="24"/>
                <w:szCs w:val="24"/>
                <w:highlight w:val="none"/>
                <w:lang w:val="en-US" w:eastAsia="zh-CN"/>
              </w:rPr>
              <w:t>20</w:t>
            </w:r>
            <w:r>
              <w:rPr>
                <w:rFonts w:hint="eastAsia" w:ascii="宋体"/>
                <w:color w:val="auto"/>
                <w:sz w:val="24"/>
                <w:szCs w:val="24"/>
                <w:highlight w:val="none"/>
              </w:rPr>
              <w:t>分。（以四舍五入法，保留两位小数）</w:t>
            </w:r>
          </w:p>
        </w:tc>
      </w:tr>
    </w:tbl>
    <w:p w14:paraId="1970C99D">
      <w:pPr>
        <w:jc w:val="left"/>
        <w:rPr>
          <w:rFonts w:hint="eastAsia" w:ascii="宋体" w:hAnsi="宋体"/>
          <w:b/>
          <w:bCs/>
          <w:color w:val="auto"/>
          <w:sz w:val="24"/>
          <w:szCs w:val="24"/>
          <w:highlight w:val="none"/>
        </w:rPr>
      </w:pPr>
    </w:p>
    <w:p w14:paraId="11819515">
      <w:pPr>
        <w:jc w:val="left"/>
        <w:rPr>
          <w:rFonts w:hint="eastAsia" w:ascii="宋体" w:hAnsi="宋体"/>
          <w:b/>
          <w:bCs/>
          <w:color w:val="auto"/>
          <w:sz w:val="24"/>
          <w:szCs w:val="24"/>
          <w:highlight w:val="none"/>
        </w:rPr>
      </w:pPr>
      <w:r>
        <w:rPr>
          <w:rFonts w:hint="eastAsia" w:ascii="宋体" w:hAnsi="宋体"/>
          <w:b/>
          <w:bCs/>
          <w:color w:val="auto"/>
          <w:sz w:val="24"/>
          <w:szCs w:val="24"/>
          <w:highlight w:val="none"/>
        </w:rPr>
        <w:t>备注：</w:t>
      </w:r>
    </w:p>
    <w:p w14:paraId="4860EA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1、所有提供的证明材料必须保证清晰，内容模糊无法确认的后果由投标人自负；</w:t>
      </w:r>
    </w:p>
    <w:p w14:paraId="0400D9F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2、所有提供的证明材料必须为真实、有效；</w:t>
      </w:r>
    </w:p>
    <w:p w14:paraId="1F2364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3、评分过程中如出现小数点后三位，采用四舍五入法，最终保留两位小数；</w:t>
      </w:r>
    </w:p>
    <w:p w14:paraId="687C049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4、投标文件中必须提供以上相关证明材料复印件；</w:t>
      </w:r>
    </w:p>
    <w:p w14:paraId="54D221B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color w:val="auto"/>
          <w:sz w:val="24"/>
          <w:highlight w:val="none"/>
          <w:lang w:val="en-US" w:eastAsia="zh-CN"/>
        </w:rPr>
        <w:t>5、</w:t>
      </w:r>
      <w:r>
        <w:rPr>
          <w:rFonts w:hint="eastAsia" w:ascii="宋体" w:hAnsi="宋体" w:eastAsia="宋体" w:cs="宋体"/>
          <w:color w:val="auto"/>
          <w:sz w:val="24"/>
          <w:szCs w:val="24"/>
          <w:highlight w:val="none"/>
        </w:rPr>
        <w:t>评标委员会认定投标人的报价明显低于其他通过符合性审查投标人的报价，有可能影响产品质量或者不能诚信履约的，应当按照《关于推动解决政府采购异常低价问题相关工作的通知》（苏财购〔2025〕62号）要求，启动异常低价投标（响应）审查程序。出现招标文件规定的异常低价情形，评标委员会未启动异常低价审查或未对异常低价情形作出认定意见的，采购人应及时报告同级财政部门，由财政部门按照《中华人民共和国政府采购法实施条例》第七十五条追究评审专家的法律责任。</w:t>
      </w:r>
    </w:p>
    <w:p w14:paraId="2F6575DD">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评标委员会启动异常低价投标（响应）审查的情形和具体要求，包括：</w:t>
      </w:r>
    </w:p>
    <w:p w14:paraId="7443B403">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1、评审过程中出现下列情形之一的，评标委员会应当启动异常低价投标（响应）审查程序：</w:t>
      </w:r>
    </w:p>
    <w:p w14:paraId="4C012ED7">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①投标（响应）报价低于采购项目最高限价45%的，即投标（响应）报价&lt;采购项目最高限价×45%；</w:t>
      </w:r>
    </w:p>
    <w:p w14:paraId="716F14E1">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②评标委员会认定的供应商报价过低、有可能影响产品质量或者不能诚信履约的其他情形。</w:t>
      </w:r>
    </w:p>
    <w:p w14:paraId="1060BABA">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启动异常低价投标（响应）审查后，评标委员会应当要求相关供应商在评标现场在给定的合理时间内，提供项目具体成本测算等与报价合理性相关的书面说明及相关证明材料，对投标（响应）价格作出解释，由评标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委员会应当将其作为无效投标（响应）处理。审查相关情况应当在评标报告中进行记录。</w:t>
      </w:r>
    </w:p>
    <w:p w14:paraId="17C5BE1F">
      <w:pPr>
        <w:spacing w:line="360" w:lineRule="auto"/>
        <w:ind w:firstLine="560" w:firstLineChars="200"/>
        <w:jc w:val="center"/>
        <w:rPr>
          <w:rFonts w:hint="eastAsia" w:ascii="黑体" w:hAnsi="黑体" w:eastAsia="黑体"/>
          <w:color w:val="auto"/>
          <w:sz w:val="28"/>
          <w:highlight w:val="none"/>
        </w:rPr>
      </w:pPr>
    </w:p>
    <w:p w14:paraId="38C1A75F">
      <w:pPr>
        <w:spacing w:line="360" w:lineRule="auto"/>
        <w:ind w:firstLine="560" w:firstLineChars="200"/>
        <w:jc w:val="center"/>
        <w:rPr>
          <w:rFonts w:hint="eastAsia" w:ascii="黑体" w:hAnsi="黑体" w:eastAsia="黑体"/>
          <w:color w:val="auto"/>
          <w:sz w:val="28"/>
          <w:highlight w:val="none"/>
        </w:rPr>
      </w:pPr>
      <w:r>
        <w:rPr>
          <w:rFonts w:hint="eastAsia" w:ascii="黑体" w:hAnsi="黑体" w:eastAsia="黑体"/>
          <w:color w:val="auto"/>
          <w:sz w:val="28"/>
          <w:highlight w:val="none"/>
        </w:rPr>
        <w:br w:type="page"/>
      </w:r>
      <w:r>
        <w:rPr>
          <w:rFonts w:hint="eastAsia" w:ascii="黑体" w:hAnsi="黑体" w:eastAsia="黑体"/>
          <w:color w:val="auto"/>
          <w:sz w:val="28"/>
          <w:highlight w:val="none"/>
        </w:rPr>
        <w:t>第五章 采购合同（格式）</w:t>
      </w:r>
    </w:p>
    <w:p w14:paraId="005BEE22">
      <w:pPr>
        <w:keepNext/>
        <w:keepLines/>
        <w:widowControl w:val="0"/>
        <w:spacing w:before="260" w:beforeLines="0" w:beforeAutospacing="0" w:after="260" w:afterLines="0" w:afterAutospacing="0" w:line="413" w:lineRule="auto"/>
        <w:ind w:firstLine="723" w:firstLineChars="200"/>
        <w:jc w:val="center"/>
        <w:outlineLvl w:val="1"/>
        <w:rPr>
          <w:rFonts w:ascii="Times New Roman" w:hAnsi="Times New Roman" w:eastAsia="宋体" w:cs="Times New Roman"/>
          <w:b/>
          <w:color w:val="auto"/>
          <w:kern w:val="2"/>
          <w:sz w:val="36"/>
          <w:highlight w:val="none"/>
          <w:lang w:val="en-US" w:eastAsia="zh-CN" w:bidi="ar-SA"/>
        </w:rPr>
      </w:pPr>
      <w:r>
        <w:rPr>
          <w:rFonts w:ascii="Times New Roman" w:hAnsi="Times New Roman" w:eastAsia="宋体" w:cs="Times New Roman"/>
          <w:b/>
          <w:color w:val="auto"/>
          <w:kern w:val="2"/>
          <w:sz w:val="36"/>
          <w:highlight w:val="none"/>
          <w:lang w:val="en-US" w:eastAsia="zh-CN" w:bidi="ar-SA"/>
        </w:rPr>
        <w:t>技术咨询合同书</w:t>
      </w:r>
    </w:p>
    <w:p w14:paraId="39ADAE68">
      <w:pPr>
        <w:spacing w:line="400" w:lineRule="exact"/>
        <w:rPr>
          <w:rFonts w:ascii="Times New Roman" w:hAnsi="Times New Roman" w:eastAsia="宋体" w:cs="Times New Roman"/>
          <w:b/>
          <w:color w:val="auto"/>
          <w:sz w:val="24"/>
          <w:szCs w:val="24"/>
          <w:highlight w:val="none"/>
          <w:u w:val="single"/>
        </w:rPr>
      </w:pPr>
      <w:r>
        <w:rPr>
          <w:rFonts w:ascii="Times New Roman" w:hAnsi="Times New Roman" w:eastAsia="宋体" w:cs="Times New Roman"/>
          <w:b/>
          <w:color w:val="auto"/>
          <w:sz w:val="24"/>
          <w:szCs w:val="24"/>
          <w:highlight w:val="none"/>
        </w:rPr>
        <w:t>发包人（全称）：</w:t>
      </w:r>
      <w:r>
        <w:rPr>
          <w:rFonts w:ascii="Times New Roman" w:hAnsi="Times New Roman" w:eastAsia="宋体" w:cs="Times New Roman"/>
          <w:b/>
          <w:color w:val="auto"/>
          <w:sz w:val="24"/>
          <w:szCs w:val="24"/>
          <w:highlight w:val="none"/>
          <w:u w:val="single"/>
        </w:rPr>
        <w:t xml:space="preserve">       </w:t>
      </w:r>
      <w:r>
        <w:rPr>
          <w:rFonts w:hint="eastAsia" w:ascii="Times New Roman" w:hAnsi="Times New Roman" w:eastAsia="宋体" w:cs="Times New Roman"/>
          <w:b/>
          <w:color w:val="auto"/>
          <w:sz w:val="24"/>
          <w:szCs w:val="24"/>
          <w:highlight w:val="none"/>
          <w:u w:val="single"/>
          <w:lang w:eastAsia="zh-CN"/>
        </w:rPr>
        <w:t>江苏宜公投蓝藻资源开发有限公司</w:t>
      </w:r>
      <w:r>
        <w:rPr>
          <w:rFonts w:ascii="Times New Roman" w:hAnsi="Times New Roman" w:eastAsia="宋体" w:cs="Times New Roman"/>
          <w:b/>
          <w:color w:val="auto"/>
          <w:sz w:val="24"/>
          <w:szCs w:val="24"/>
          <w:highlight w:val="none"/>
          <w:u w:val="single"/>
        </w:rPr>
        <w:t xml:space="preserve">       </w:t>
      </w:r>
    </w:p>
    <w:p w14:paraId="6AED176F">
      <w:pPr>
        <w:spacing w:line="400" w:lineRule="exact"/>
        <w:rPr>
          <w:rFonts w:ascii="Times New Roman" w:hAnsi="Times New Roman" w:eastAsia="宋体" w:cs="Times New Roman"/>
          <w:b/>
          <w:color w:val="auto"/>
          <w:sz w:val="24"/>
          <w:szCs w:val="24"/>
          <w:highlight w:val="none"/>
          <w:u w:val="single"/>
        </w:rPr>
      </w:pPr>
      <w:r>
        <w:rPr>
          <w:rFonts w:ascii="Times New Roman" w:hAnsi="Times New Roman" w:eastAsia="宋体" w:cs="Times New Roman"/>
          <w:b/>
          <w:color w:val="auto"/>
          <w:sz w:val="24"/>
          <w:szCs w:val="24"/>
          <w:highlight w:val="none"/>
        </w:rPr>
        <w:t>受托人（全称）：</w:t>
      </w:r>
      <w:r>
        <w:rPr>
          <w:rFonts w:ascii="Times New Roman" w:hAnsi="Times New Roman" w:eastAsia="宋体" w:cs="Times New Roman"/>
          <w:b/>
          <w:color w:val="auto"/>
          <w:sz w:val="24"/>
          <w:szCs w:val="24"/>
          <w:highlight w:val="none"/>
          <w:u w:val="single"/>
        </w:rPr>
        <w:t xml:space="preserve">                    </w:t>
      </w:r>
      <w:r>
        <w:rPr>
          <w:rFonts w:hint="eastAsia" w:ascii="Times New Roman" w:hAnsi="Times New Roman" w:eastAsia="宋体" w:cs="Times New Roman"/>
          <w:b/>
          <w:color w:val="auto"/>
          <w:sz w:val="24"/>
          <w:szCs w:val="24"/>
          <w:highlight w:val="none"/>
          <w:u w:val="single"/>
          <w:lang w:val="en-US" w:eastAsia="zh-CN"/>
        </w:rPr>
        <w:t xml:space="preserve">     </w:t>
      </w:r>
      <w:r>
        <w:rPr>
          <w:rFonts w:ascii="Times New Roman" w:hAnsi="Times New Roman" w:eastAsia="宋体" w:cs="Times New Roman"/>
          <w:b/>
          <w:color w:val="auto"/>
          <w:sz w:val="24"/>
          <w:szCs w:val="24"/>
          <w:highlight w:val="none"/>
          <w:u w:val="single"/>
        </w:rPr>
        <w:t xml:space="preserve">                   </w:t>
      </w:r>
    </w:p>
    <w:p w14:paraId="4D0267DB">
      <w:pPr>
        <w:spacing w:line="400" w:lineRule="exact"/>
        <w:rPr>
          <w:rFonts w:ascii="Times New Roman" w:hAnsi="Times New Roman" w:eastAsia="宋体" w:cs="Times New Roman"/>
          <w:b/>
          <w:color w:val="auto"/>
          <w:sz w:val="24"/>
          <w:szCs w:val="24"/>
          <w:highlight w:val="none"/>
          <w:u w:val="single"/>
        </w:rPr>
      </w:pPr>
    </w:p>
    <w:p w14:paraId="37E21CD2">
      <w:pPr>
        <w:spacing w:line="560" w:lineRule="exact"/>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lang w:val="zh-CN"/>
        </w:rPr>
        <w:t>年  月  日</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lang w:eastAsia="zh-CN"/>
        </w:rPr>
        <w:t>江苏宜公投蓝藻资源开发有限公司</w:t>
      </w:r>
      <w:r>
        <w:rPr>
          <w:rFonts w:ascii="Times New Roman" w:hAnsi="Times New Roman" w:eastAsia="宋体" w:cs="Times New Roman"/>
          <w:color w:val="auto"/>
          <w:sz w:val="24"/>
          <w:highlight w:val="none"/>
        </w:rPr>
        <w:t>以</w:t>
      </w:r>
      <w:r>
        <w:rPr>
          <w:rFonts w:ascii="Times New Roman" w:hAnsi="Times New Roman" w:eastAsia="宋体" w:cs="Times New Roman"/>
          <w:color w:val="auto"/>
          <w:sz w:val="24"/>
          <w:highlight w:val="none"/>
          <w:u w:val="single"/>
        </w:rPr>
        <w:t xml:space="preserve">公开招标方式 </w:t>
      </w:r>
      <w:r>
        <w:rPr>
          <w:rFonts w:ascii="Times New Roman" w:hAnsi="Times New Roman" w:eastAsia="宋体" w:cs="Times New Roman"/>
          <w:color w:val="auto"/>
          <w:sz w:val="24"/>
          <w:highlight w:val="none"/>
        </w:rPr>
        <w:t>对</w:t>
      </w:r>
      <w:r>
        <w:rPr>
          <w:rFonts w:hint="eastAsia" w:cs="Times New Roman"/>
          <w:color w:val="auto"/>
          <w:sz w:val="24"/>
          <w:highlight w:val="none"/>
          <w:u w:val="single"/>
          <w:lang w:val="en-US" w:eastAsia="zh-CN"/>
        </w:rPr>
        <w:t>宜兴市离岸水域深井控藻工程不可避让论证服务项目</w:t>
      </w:r>
      <w:r>
        <w:rPr>
          <w:rFonts w:ascii="Times New Roman" w:hAnsi="Times New Roman" w:eastAsia="宋体" w:cs="Times New Roman"/>
          <w:color w:val="auto"/>
          <w:sz w:val="24"/>
          <w:highlight w:val="none"/>
        </w:rPr>
        <w:t>进行了采购。经</w:t>
      </w:r>
      <w:r>
        <w:rPr>
          <w:rFonts w:hint="eastAsia" w:ascii="Times New Roman" w:hAnsi="Times New Roman" w:eastAsia="宋体" w:cs="Times New Roman"/>
          <w:color w:val="auto"/>
          <w:sz w:val="24"/>
          <w:highlight w:val="none"/>
        </w:rPr>
        <w:t>评标委员会</w:t>
      </w:r>
      <w:r>
        <w:rPr>
          <w:rFonts w:ascii="Times New Roman" w:hAnsi="Times New Roman" w:eastAsia="宋体" w:cs="Times New Roman"/>
          <w:color w:val="auto"/>
          <w:sz w:val="24"/>
          <w:highlight w:val="none"/>
        </w:rPr>
        <w:t xml:space="preserve">评审，确定 </w:t>
      </w:r>
      <w:r>
        <w:rPr>
          <w:rFonts w:ascii="Times New Roman" w:hAnsi="Times New Roman" w:eastAsia="宋体" w:cs="Times New Roman"/>
          <w:color w:val="auto"/>
          <w:sz w:val="24"/>
          <w:highlight w:val="none"/>
          <w:u w:val="single"/>
        </w:rPr>
        <w:t>（</w:t>
      </w:r>
      <w:r>
        <w:rPr>
          <w:rFonts w:hint="eastAsia" w:ascii="Times New Roman" w:hAnsi="Times New Roman" w:eastAsia="宋体" w:cs="Times New Roman"/>
          <w:color w:val="auto"/>
          <w:sz w:val="24"/>
          <w:highlight w:val="none"/>
          <w:u w:val="single"/>
        </w:rPr>
        <w:t>中标</w:t>
      </w:r>
      <w:r>
        <w:rPr>
          <w:rFonts w:ascii="Times New Roman" w:hAnsi="Times New Roman" w:eastAsia="宋体" w:cs="Times New Roman"/>
          <w:color w:val="auto"/>
          <w:sz w:val="24"/>
          <w:highlight w:val="none"/>
          <w:u w:val="single"/>
        </w:rPr>
        <w:t>供应商名称）</w:t>
      </w:r>
      <w:r>
        <w:rPr>
          <w:rFonts w:ascii="Times New Roman" w:hAnsi="Times New Roman" w:eastAsia="宋体" w:cs="Times New Roman"/>
          <w:color w:val="auto"/>
          <w:sz w:val="24"/>
          <w:highlight w:val="none"/>
        </w:rPr>
        <w:t>为该项目</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供应商。现于</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通知书发出之日起三十日内，按照</w:t>
      </w:r>
      <w:r>
        <w:rPr>
          <w:rFonts w:hint="eastAsia" w:ascii="Times New Roman" w:hAnsi="Times New Roman" w:eastAsia="宋体" w:cs="Times New Roman"/>
          <w:color w:val="auto"/>
          <w:sz w:val="24"/>
          <w:highlight w:val="none"/>
        </w:rPr>
        <w:t>采购</w:t>
      </w:r>
      <w:r>
        <w:rPr>
          <w:rFonts w:ascii="Times New Roman" w:hAnsi="Times New Roman" w:eastAsia="宋体" w:cs="Times New Roman"/>
          <w:color w:val="auto"/>
          <w:sz w:val="24"/>
          <w:highlight w:val="none"/>
        </w:rPr>
        <w:t>文件确定的事项签订本合同。</w:t>
      </w:r>
    </w:p>
    <w:p w14:paraId="3E36FFCA">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lang w:val="zh-CN"/>
        </w:rPr>
        <w:t>根据《中华人民共和国民法典》等相关法律法规之规定，按照平等、自愿、公平和诚实信用的原则，经</w:t>
      </w:r>
      <w:r>
        <w:rPr>
          <w:rFonts w:hint="eastAsia" w:ascii="Times New Roman" w:hAnsi="Times New Roman" w:eastAsia="宋体" w:cs="Times New Roman"/>
          <w:color w:val="auto"/>
          <w:sz w:val="24"/>
          <w:highlight w:val="none"/>
          <w:u w:val="single"/>
          <w:lang w:eastAsia="zh-CN"/>
        </w:rPr>
        <w:t>江苏宜公投蓝藻资源开发有限公司</w:t>
      </w:r>
      <w:r>
        <w:rPr>
          <w:rFonts w:ascii="Times New Roman" w:hAnsi="Times New Roman" w:eastAsia="宋体" w:cs="Times New Roman"/>
          <w:color w:val="auto"/>
          <w:sz w:val="24"/>
          <w:highlight w:val="none"/>
          <w:lang w:val="zh-CN"/>
        </w:rPr>
        <w:t>(以下简称：甲方)和</w:t>
      </w:r>
      <w:r>
        <w:rPr>
          <w:rFonts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rPr>
        <w:t>中标</w:t>
      </w:r>
      <w:r>
        <w:rPr>
          <w:rFonts w:ascii="Times New Roman" w:hAnsi="Times New Roman" w:eastAsia="宋体" w:cs="Times New Roman"/>
          <w:color w:val="auto"/>
          <w:sz w:val="24"/>
          <w:highlight w:val="none"/>
          <w:u w:val="single"/>
        </w:rPr>
        <w:t>供应商名称）</w:t>
      </w:r>
      <w:r>
        <w:rPr>
          <w:rFonts w:ascii="Times New Roman" w:hAnsi="Times New Roman" w:eastAsia="宋体" w:cs="Times New Roman"/>
          <w:color w:val="auto"/>
          <w:sz w:val="24"/>
          <w:highlight w:val="none"/>
          <w:lang w:val="zh-CN"/>
        </w:rPr>
        <w:t>(以下简称：乙方)协商一致，约定以下合同</w:t>
      </w:r>
      <w:r>
        <w:rPr>
          <w:rFonts w:ascii="Times New Roman" w:hAnsi="Times New Roman" w:eastAsia="宋体" w:cs="Times New Roman"/>
          <w:color w:val="auto"/>
          <w:sz w:val="24"/>
          <w:highlight w:val="none"/>
        </w:rPr>
        <w:t>条款，以兹共同遵守、全面履行。</w:t>
      </w:r>
    </w:p>
    <w:p w14:paraId="1BACA7A9">
      <w:pPr>
        <w:spacing w:line="560" w:lineRule="exact"/>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1.1 合同组成部分</w:t>
      </w:r>
    </w:p>
    <w:p w14:paraId="77D876EE">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下列文件为本合同的组成部分，并构成一个整体，需综合解释、相互补充。如果下列文件内容出现不一致的情形，那么在保证按照</w:t>
      </w:r>
      <w:r>
        <w:rPr>
          <w:rFonts w:hint="eastAsia" w:ascii="Times New Roman" w:hAnsi="Times New Roman" w:eastAsia="宋体" w:cs="Times New Roman"/>
          <w:color w:val="auto"/>
          <w:sz w:val="24"/>
          <w:szCs w:val="24"/>
          <w:highlight w:val="none"/>
        </w:rPr>
        <w:t>采购</w:t>
      </w:r>
      <w:r>
        <w:rPr>
          <w:rFonts w:ascii="Times New Roman" w:hAnsi="Times New Roman" w:eastAsia="宋体" w:cs="Times New Roman"/>
          <w:color w:val="auto"/>
          <w:sz w:val="24"/>
          <w:szCs w:val="24"/>
          <w:highlight w:val="none"/>
        </w:rPr>
        <w:t>文件确定的事项的前提下，组成本合同的多个文件的优先适用顺序如下：</w:t>
      </w:r>
    </w:p>
    <w:p w14:paraId="6ADB952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1.1.1 本合同及其补充合同、变更协议；</w:t>
      </w:r>
    </w:p>
    <w:p w14:paraId="163EFFAF">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1.1.2 </w:t>
      </w:r>
      <w:r>
        <w:rPr>
          <w:rFonts w:hint="eastAsia" w:ascii="Times New Roman" w:hAnsi="Times New Roman" w:eastAsia="宋体" w:cs="Times New Roman"/>
          <w:color w:val="auto"/>
          <w:sz w:val="24"/>
          <w:szCs w:val="24"/>
          <w:highlight w:val="none"/>
        </w:rPr>
        <w:t>中标</w:t>
      </w:r>
      <w:r>
        <w:rPr>
          <w:rFonts w:ascii="Times New Roman" w:hAnsi="Times New Roman" w:eastAsia="宋体" w:cs="Times New Roman"/>
          <w:color w:val="auto"/>
          <w:sz w:val="24"/>
          <w:szCs w:val="24"/>
          <w:highlight w:val="none"/>
        </w:rPr>
        <w:t>通知书；</w:t>
      </w:r>
    </w:p>
    <w:p w14:paraId="7E341B7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1.1.3 </w:t>
      </w:r>
      <w:r>
        <w:rPr>
          <w:rFonts w:hint="eastAsia" w:ascii="Times New Roman" w:hAnsi="Times New Roman" w:eastAsia="宋体" w:cs="Times New Roman"/>
          <w:color w:val="auto"/>
          <w:sz w:val="24"/>
          <w:szCs w:val="24"/>
          <w:highlight w:val="none"/>
        </w:rPr>
        <w:t>投标</w:t>
      </w:r>
      <w:r>
        <w:rPr>
          <w:rFonts w:ascii="Times New Roman" w:hAnsi="Times New Roman" w:eastAsia="宋体" w:cs="Times New Roman"/>
          <w:color w:val="auto"/>
          <w:sz w:val="24"/>
          <w:szCs w:val="24"/>
          <w:highlight w:val="none"/>
        </w:rPr>
        <w:t>文件（含澄清或者说明文件）；</w:t>
      </w:r>
    </w:p>
    <w:p w14:paraId="09F3955C">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1.1.4 </w:t>
      </w:r>
      <w:r>
        <w:rPr>
          <w:rFonts w:hint="eastAsia" w:ascii="Times New Roman" w:hAnsi="Times New Roman" w:eastAsia="宋体" w:cs="Times New Roman"/>
          <w:color w:val="auto"/>
          <w:sz w:val="24"/>
          <w:szCs w:val="24"/>
          <w:highlight w:val="none"/>
        </w:rPr>
        <w:t>采购</w:t>
      </w:r>
      <w:r>
        <w:rPr>
          <w:rFonts w:ascii="Times New Roman" w:hAnsi="Times New Roman" w:eastAsia="宋体" w:cs="Times New Roman"/>
          <w:color w:val="auto"/>
          <w:sz w:val="24"/>
          <w:szCs w:val="24"/>
          <w:highlight w:val="none"/>
        </w:rPr>
        <w:t>文件（含澄清或者修改文件）；</w:t>
      </w:r>
    </w:p>
    <w:p w14:paraId="7655324A">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1.1.5 其他相关</w:t>
      </w:r>
      <w:r>
        <w:rPr>
          <w:rFonts w:hint="eastAsia" w:ascii="Times New Roman" w:hAnsi="Times New Roman" w:eastAsia="宋体" w:cs="Times New Roman"/>
          <w:color w:val="auto"/>
          <w:sz w:val="24"/>
          <w:szCs w:val="24"/>
          <w:highlight w:val="none"/>
        </w:rPr>
        <w:t>采购</w:t>
      </w:r>
      <w:r>
        <w:rPr>
          <w:rFonts w:ascii="Times New Roman" w:hAnsi="Times New Roman" w:eastAsia="宋体" w:cs="Times New Roman"/>
          <w:color w:val="auto"/>
          <w:sz w:val="24"/>
          <w:szCs w:val="24"/>
          <w:highlight w:val="none"/>
        </w:rPr>
        <w:t>文件。</w:t>
      </w:r>
    </w:p>
    <w:p w14:paraId="76E6BD8C">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1.2 标的</w:t>
      </w:r>
    </w:p>
    <w:p w14:paraId="18F6E553">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1.2.1 项目名称：</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14F43AD2">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1.2.2 项目数量：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74C1A34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1.2.3 项目质量：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66AB8106">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1.3 价款</w:t>
      </w:r>
    </w:p>
    <w:p w14:paraId="425895BB">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本合同总价为：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￥元（大写：元人民币）。</w:t>
      </w:r>
    </w:p>
    <w:p w14:paraId="12059F2F">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分项价格：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C2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5EDD61C">
            <w:pPr>
              <w:widowControl w:val="0"/>
              <w:spacing w:line="560" w:lineRule="exact"/>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序号</w:t>
            </w:r>
          </w:p>
        </w:tc>
        <w:tc>
          <w:tcPr>
            <w:tcW w:w="3402" w:type="dxa"/>
            <w:noWrap w:val="0"/>
            <w:vAlign w:val="center"/>
          </w:tcPr>
          <w:p w14:paraId="4276BD04">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分项名称</w:t>
            </w:r>
          </w:p>
        </w:tc>
        <w:tc>
          <w:tcPr>
            <w:tcW w:w="2552" w:type="dxa"/>
            <w:noWrap w:val="0"/>
            <w:vAlign w:val="center"/>
          </w:tcPr>
          <w:p w14:paraId="4F07BF6E">
            <w:pPr>
              <w:widowControl w:val="0"/>
              <w:spacing w:line="560" w:lineRule="exact"/>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分项价格</w:t>
            </w:r>
          </w:p>
        </w:tc>
      </w:tr>
      <w:tr w14:paraId="48E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3030ACA">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50138506">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1A6C39C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0C83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B652E13">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130C943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0DC13C7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1EA8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5491B2">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5D3105B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17F9F948">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29D7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5A03074">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0DB43C6E">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67FC0E08">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68BB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4ECE853">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总价</w:t>
            </w:r>
          </w:p>
        </w:tc>
        <w:tc>
          <w:tcPr>
            <w:tcW w:w="2552" w:type="dxa"/>
            <w:noWrap w:val="0"/>
            <w:vAlign w:val="center"/>
          </w:tcPr>
          <w:p w14:paraId="35876982">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bl>
    <w:p w14:paraId="58E481B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1.4 付款方式和发票开具方式</w:t>
      </w:r>
    </w:p>
    <w:p w14:paraId="34A1843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1.4.1付款方式：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370C584E">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1.4.2 发票开具方式：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48FF36E6">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1.5 履行期限、地点和方式</w:t>
      </w:r>
    </w:p>
    <w:p w14:paraId="7CA9F011">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1.5.1 履行期限：</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49F8DA4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1.5.2 履行地点：</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643BCF7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1.5.3 履行方式：</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1D27B065">
      <w:pPr>
        <w:snapToGrid w:val="0"/>
        <w:spacing w:line="360" w:lineRule="auto"/>
        <w:ind w:firstLine="42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1.6</w:t>
      </w:r>
      <w:r>
        <w:rPr>
          <w:rFonts w:ascii="Times New Roman" w:hAnsi="Times New Roman" w:eastAsia="宋体" w:cs="Times New Roman"/>
          <w:b/>
          <w:bCs/>
          <w:color w:val="auto"/>
          <w:sz w:val="24"/>
          <w:szCs w:val="24"/>
          <w:highlight w:val="none"/>
        </w:rPr>
        <w:t>乙方进行技术</w:t>
      </w:r>
      <w:r>
        <w:rPr>
          <w:rFonts w:hint="eastAsia" w:ascii="Times New Roman" w:hAnsi="Times New Roman" w:eastAsia="宋体" w:cs="Times New Roman"/>
          <w:b/>
          <w:bCs/>
          <w:color w:val="auto"/>
          <w:sz w:val="24"/>
          <w:szCs w:val="24"/>
          <w:highlight w:val="none"/>
        </w:rPr>
        <w:t>咨询</w:t>
      </w:r>
      <w:r>
        <w:rPr>
          <w:rFonts w:ascii="Times New Roman" w:hAnsi="Times New Roman" w:eastAsia="宋体" w:cs="Times New Roman"/>
          <w:b/>
          <w:bCs/>
          <w:color w:val="auto"/>
          <w:sz w:val="24"/>
          <w:szCs w:val="24"/>
          <w:highlight w:val="none"/>
        </w:rPr>
        <w:t>的内容</w:t>
      </w:r>
      <w:r>
        <w:rPr>
          <w:rFonts w:hint="eastAsia" w:ascii="Times New Roman" w:hAnsi="Times New Roman" w:eastAsia="宋体" w:cs="Times New Roman"/>
          <w:b/>
          <w:bCs/>
          <w:color w:val="auto"/>
          <w:sz w:val="24"/>
          <w:szCs w:val="24"/>
          <w:highlight w:val="none"/>
        </w:rPr>
        <w:t>、要求和成果交付</w:t>
      </w:r>
    </w:p>
    <w:p w14:paraId="3833421D">
      <w:pPr>
        <w:keepNext w:val="0"/>
        <w:keepLines w:val="0"/>
        <w:pageBreakBefore w:val="0"/>
        <w:widowControl w:val="0"/>
        <w:kinsoku/>
        <w:wordWrap/>
        <w:overflowPunct/>
        <w:topLinePunct w:val="0"/>
        <w:bidi w:val="0"/>
        <w:snapToGrid w:val="0"/>
        <w:spacing w:line="360" w:lineRule="auto"/>
        <w:ind w:firstLine="42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16.1服务内容：</w:t>
      </w:r>
    </w:p>
    <w:p w14:paraId="616AA0E0">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根据文件要求，编制不可避让论证报告，内容包括：项目概况、工程任务、工程建设内容、项目建设报批情况、与主体功能区的相符性、与区域水功能区划和生态环境功能区划的相符性、项目占用生态管控区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Times New Roman" w:hAnsi="Times New Roman" w:cs="Times New Roman"/>
          <w:color w:val="auto"/>
          <w:sz w:val="24"/>
          <w:szCs w:val="24"/>
          <w:highlight w:val="none"/>
          <w:lang w:val="en-US" w:eastAsia="zh-CN"/>
        </w:rPr>
        <w:t>的</w:t>
      </w:r>
      <w:r>
        <w:rPr>
          <w:rFonts w:hint="eastAsia" w:ascii="宋体" w:hAnsi="宋体" w:eastAsia="宋体" w:cs="宋体"/>
          <w:color w:val="auto"/>
          <w:sz w:val="24"/>
          <w:szCs w:val="28"/>
          <w:highlight w:val="none"/>
        </w:rPr>
        <w:t>基本情况、占用生态管控区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宋体" w:hAnsi="宋体" w:eastAsia="宋体" w:cs="宋体"/>
          <w:color w:val="auto"/>
          <w:sz w:val="24"/>
          <w:szCs w:val="28"/>
          <w:highlight w:val="none"/>
        </w:rPr>
        <w:t>的不可避让性、生态环境影响分析及生态补偿等。</w:t>
      </w:r>
    </w:p>
    <w:p w14:paraId="5B0E684F">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eastAsia" w:ascii="宋体" w:hAnsi="宋体" w:eastAsia="宋体" w:cs="宋体"/>
          <w:color w:val="auto"/>
          <w:sz w:val="24"/>
          <w:szCs w:val="28"/>
          <w:highlight w:val="none"/>
        </w:rPr>
        <w:t>参加由自然资源部门组织的专家论证会，阐述涉及项目生态空间管控区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Times New Roman" w:hAnsi="Times New Roman" w:cs="Times New Roman"/>
          <w:color w:val="auto"/>
          <w:sz w:val="24"/>
          <w:szCs w:val="24"/>
          <w:highlight w:val="none"/>
          <w:lang w:val="en-US" w:eastAsia="zh-CN"/>
        </w:rPr>
        <w:t>的</w:t>
      </w:r>
      <w:r>
        <w:rPr>
          <w:rFonts w:hint="eastAsia" w:ascii="宋体" w:hAnsi="宋体" w:eastAsia="宋体" w:cs="宋体"/>
          <w:color w:val="auto"/>
          <w:sz w:val="24"/>
          <w:szCs w:val="28"/>
          <w:highlight w:val="none"/>
        </w:rPr>
        <w:t>情况，通过专家及相关部门的质询，获得市政府出具的论证意见。</w:t>
      </w:r>
    </w:p>
    <w:p w14:paraId="2550E7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p>
    <w:p w14:paraId="376769C0">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16.2成果交付：</w:t>
      </w:r>
    </w:p>
    <w:p w14:paraId="71684D0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（一）提交经上级主管部门组织论证通过</w:t>
      </w:r>
      <w:r>
        <w:rPr>
          <w:rFonts w:hint="eastAsia" w:eastAsia="宋体" w:cs="Times New Roman"/>
          <w:color w:val="auto"/>
          <w:sz w:val="24"/>
          <w:highlight w:val="none"/>
          <w:lang w:val="en-US" w:eastAsia="zh-CN"/>
        </w:rPr>
        <w:t>的</w:t>
      </w:r>
      <w:r>
        <w:rPr>
          <w:rFonts w:hint="eastAsia" w:ascii="Times New Roman" w:hAnsi="Times New Roman" w:eastAsia="宋体" w:cs="Times New Roman"/>
          <w:color w:val="auto"/>
          <w:sz w:val="24"/>
          <w:highlight w:val="none"/>
        </w:rPr>
        <w:t>《</w:t>
      </w:r>
      <w:r>
        <w:rPr>
          <w:rFonts w:hint="eastAsia" w:ascii="宋体" w:hAnsi="宋体" w:cs="宋体"/>
          <w:color w:val="auto"/>
          <w:sz w:val="24"/>
          <w:szCs w:val="24"/>
          <w:highlight w:val="none"/>
          <w:lang w:val="en-US" w:eastAsia="zh-CN"/>
        </w:rPr>
        <w:t>宜兴市离岸水域深井控藻工程不可避让论证</w:t>
      </w:r>
      <w:r>
        <w:rPr>
          <w:rFonts w:hint="eastAsia" w:ascii="Times New Roman" w:hAnsi="Times New Roman" w:eastAsia="宋体" w:cs="Times New Roman"/>
          <w:color w:val="auto"/>
          <w:sz w:val="24"/>
          <w:highlight w:val="none"/>
        </w:rPr>
        <w:t>报告》专家论证意见；</w:t>
      </w:r>
    </w:p>
    <w:p w14:paraId="1C3CBD7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（二）无锡市自然资源和规划局和无锡市生态环境局联合出具的《</w:t>
      </w:r>
      <w:r>
        <w:rPr>
          <w:rFonts w:hint="eastAsia" w:ascii="宋体" w:hAnsi="宋体" w:cs="宋体"/>
          <w:color w:val="auto"/>
          <w:sz w:val="24"/>
          <w:szCs w:val="24"/>
          <w:highlight w:val="none"/>
          <w:lang w:val="en-US" w:eastAsia="zh-CN"/>
        </w:rPr>
        <w:t>宜兴市离岸水域深井控藻工程</w:t>
      </w:r>
      <w:r>
        <w:rPr>
          <w:rFonts w:hint="eastAsia" w:ascii="Times New Roman" w:hAnsi="Times New Roman" w:eastAsia="宋体" w:cs="Times New Roman"/>
          <w:color w:val="auto"/>
          <w:sz w:val="24"/>
          <w:highlight w:val="none"/>
        </w:rPr>
        <w:t>临时用地涉及生态空间管控区域的意见》。</w:t>
      </w:r>
    </w:p>
    <w:p w14:paraId="156A010D">
      <w:pPr>
        <w:snapToGrid w:val="0"/>
        <w:spacing w:line="360" w:lineRule="auto"/>
        <w:ind w:firstLine="42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1.7 违约责任</w:t>
      </w:r>
    </w:p>
    <w:p w14:paraId="601AECD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w:t>
      </w:r>
      <w:r>
        <w:rPr>
          <w:rFonts w:ascii="Times New Roman" w:hAnsi="Times New Roman" w:eastAsia="宋体" w:cs="Times New Roman"/>
          <w:color w:val="auto"/>
          <w:sz w:val="24"/>
          <w:szCs w:val="24"/>
          <w:highlight w:val="none"/>
        </w:rPr>
        <w:t>.1 除不可抗力外，如果乙方没有按照本合同约定的期限、地点和方式履行，那么甲方可要求乙方支付违约金，违约金</w:t>
      </w:r>
      <w:r>
        <w:rPr>
          <w:rFonts w:hint="eastAsia" w:ascii="Times New Roman" w:hAnsi="Times New Roman" w:eastAsia="宋体" w:cs="Times New Roman"/>
          <w:color w:val="auto"/>
          <w:sz w:val="24"/>
          <w:szCs w:val="24"/>
          <w:highlight w:val="none"/>
        </w:rPr>
        <w:t>乙方</w:t>
      </w:r>
      <w:r>
        <w:rPr>
          <w:rFonts w:hint="eastAsia" w:ascii="宋体" w:hAnsi="宋体" w:eastAsia="宋体" w:cs="Times New Roman"/>
          <w:color w:val="auto"/>
          <w:sz w:val="24"/>
          <w:szCs w:val="24"/>
          <w:highlight w:val="none"/>
        </w:rPr>
        <w:t>按合同总价的千分之二/天支付违约金给甲方，最高为合同价30%</w:t>
      </w:r>
      <w:r>
        <w:rPr>
          <w:rFonts w:ascii="Times New Roman" w:hAnsi="Times New Roman" w:eastAsia="宋体" w:cs="Times New Roman"/>
          <w:color w:val="auto"/>
          <w:sz w:val="24"/>
          <w:szCs w:val="24"/>
          <w:highlight w:val="none"/>
        </w:rPr>
        <w:t>；迟延履行的违约金计算数额达到前述最高限额之日起，甲方有权在要求乙方支付违约金的同时，书面通知乙方解除本合同；</w:t>
      </w:r>
    </w:p>
    <w:p w14:paraId="6CD57FA1">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7.2</w:t>
      </w:r>
      <w:r>
        <w:rPr>
          <w:rFonts w:ascii="Times New Roman" w:hAnsi="Times New Roman" w:eastAsia="宋体" w:cs="Times New Roman"/>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A0BD45F">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7.3</w:t>
      </w:r>
      <w:r>
        <w:rPr>
          <w:rFonts w:ascii="Times New Roman" w:hAnsi="Times New Roman" w:eastAsia="宋体" w:cs="Times New Roman"/>
          <w:color w:val="auto"/>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FDAF1B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bCs/>
          <w:color w:val="auto"/>
          <w:sz w:val="24"/>
          <w:highlight w:val="none"/>
        </w:rPr>
        <w:t>1.</w:t>
      </w:r>
      <w:r>
        <w:rPr>
          <w:rFonts w:hint="eastAsia" w:ascii="Times New Roman" w:hAnsi="Times New Roman" w:eastAsia="宋体" w:cs="Times New Roman"/>
          <w:bCs/>
          <w:color w:val="auto"/>
          <w:sz w:val="24"/>
          <w:highlight w:val="none"/>
        </w:rPr>
        <w:t>7.4</w:t>
      </w:r>
      <w:r>
        <w:rPr>
          <w:rFonts w:ascii="Times New Roman" w:hAnsi="Times New Roman" w:eastAsia="宋体" w:cs="Times New Roman"/>
          <w:bCs/>
          <w:color w:val="auto"/>
          <w:sz w:val="24"/>
          <w:highlight w:val="none"/>
        </w:rPr>
        <w:t xml:space="preserve"> </w:t>
      </w:r>
      <w:r>
        <w:rPr>
          <w:rFonts w:ascii="Times New Roman" w:hAnsi="Times New Roman" w:eastAsia="宋体" w:cs="Times New Roman"/>
          <w:bCs/>
          <w:color w:val="auto"/>
          <w:sz w:val="24"/>
          <w:highlight w:val="none"/>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7E5E607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7.5</w:t>
      </w:r>
      <w:r>
        <w:rPr>
          <w:rFonts w:ascii="Times New Roman" w:hAnsi="Times New Roman" w:eastAsia="宋体" w:cs="Times New Roman"/>
          <w:color w:val="auto"/>
          <w:sz w:val="24"/>
          <w:szCs w:val="24"/>
          <w:highlight w:val="none"/>
        </w:rPr>
        <w:t xml:space="preserve"> 如果出现采购监督管理部门在处理投诉事项期间，书面通知甲方暂停采购活动的情形，或者询问或质疑事项可能影响</w:t>
      </w:r>
      <w:r>
        <w:rPr>
          <w:rFonts w:hint="eastAsia" w:ascii="Times New Roman" w:hAnsi="Times New Roman" w:eastAsia="宋体" w:cs="Times New Roman"/>
          <w:color w:val="auto"/>
          <w:sz w:val="24"/>
          <w:szCs w:val="24"/>
          <w:highlight w:val="none"/>
        </w:rPr>
        <w:t>中标</w:t>
      </w:r>
      <w:r>
        <w:rPr>
          <w:rFonts w:ascii="Times New Roman" w:hAnsi="Times New Roman" w:eastAsia="宋体" w:cs="Times New Roman"/>
          <w:color w:val="auto"/>
          <w:sz w:val="24"/>
          <w:szCs w:val="24"/>
          <w:highlight w:val="none"/>
        </w:rPr>
        <w:t>结果的，导致甲方中止履行合同的情形，均不视为甲方违约。</w:t>
      </w:r>
    </w:p>
    <w:p w14:paraId="5371AA3B">
      <w:pPr>
        <w:spacing w:line="5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1.7.6</w:t>
      </w:r>
    </w:p>
    <w:p w14:paraId="1BEDF760">
      <w:pPr>
        <w:spacing w:line="560" w:lineRule="exact"/>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1.</w:t>
      </w:r>
      <w:r>
        <w:rPr>
          <w:rFonts w:hint="eastAsia" w:ascii="Times New Roman" w:hAnsi="Times New Roman" w:eastAsia="宋体" w:cs="Times New Roman"/>
          <w:b/>
          <w:color w:val="auto"/>
          <w:sz w:val="24"/>
          <w:highlight w:val="none"/>
        </w:rPr>
        <w:t>8</w:t>
      </w:r>
      <w:r>
        <w:rPr>
          <w:rFonts w:ascii="Times New Roman" w:hAnsi="Times New Roman" w:eastAsia="宋体" w:cs="Times New Roman"/>
          <w:b/>
          <w:color w:val="auto"/>
          <w:sz w:val="24"/>
          <w:highlight w:val="none"/>
        </w:rPr>
        <w:t xml:space="preserve"> 合同争议的解决</w:t>
      </w:r>
    </w:p>
    <w:p w14:paraId="423AA874">
      <w:pPr>
        <w:widowControl w:val="0"/>
        <w:spacing w:line="480" w:lineRule="auto"/>
        <w:ind w:firstLine="480" w:firstLineChars="20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在履行本合同的过程中发生争议，双方当事人和解或调解不成，可采取仲裁或按司法程序解决，双方同意按照以下第</w:t>
      </w:r>
      <w:r>
        <w:rPr>
          <w:rFonts w:hint="eastAsia" w:ascii="宋体" w:hAnsi="宋体" w:eastAsia="宋体" w:cs="Times New Roman"/>
          <w:color w:val="auto"/>
          <w:kern w:val="2"/>
          <w:sz w:val="24"/>
          <w:szCs w:val="24"/>
          <w:highlight w:val="none"/>
          <w:lang w:val="en-US" w:eastAsia="zh-CN" w:bidi="ar-SA"/>
        </w:rPr>
        <w:t>（二）种</w:t>
      </w:r>
      <w:r>
        <w:rPr>
          <w:rFonts w:ascii="宋体" w:hAnsi="宋体" w:eastAsia="宋体" w:cs="Times New Roman"/>
          <w:color w:val="auto"/>
          <w:kern w:val="2"/>
          <w:sz w:val="24"/>
          <w:szCs w:val="24"/>
          <w:highlight w:val="none"/>
          <w:lang w:val="en-US" w:eastAsia="zh-CN" w:bidi="ar-SA"/>
        </w:rPr>
        <w:t>方式解决：</w:t>
      </w:r>
    </w:p>
    <w:p w14:paraId="426870C3">
      <w:pPr>
        <w:widowControl w:val="0"/>
        <w:spacing w:line="480" w:lineRule="auto"/>
        <w:ind w:firstLine="480" w:firstLineChars="20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（一）双方同意由</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宜兴</w:t>
      </w:r>
      <w:r>
        <w:rPr>
          <w:rFonts w:ascii="宋体" w:hAnsi="宋体" w:eastAsia="宋体" w:cs="Times New Roman"/>
          <w:b/>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仲裁委员会仲裁。</w:t>
      </w:r>
    </w:p>
    <w:p w14:paraId="371210CB">
      <w:pPr>
        <w:widowControl w:val="0"/>
        <w:spacing w:line="480" w:lineRule="auto"/>
        <w:ind w:firstLine="480" w:firstLineChars="20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（二）双方约定向</w:t>
      </w:r>
      <w:r>
        <w:rPr>
          <w:rFonts w:hint="eastAsia" w:ascii="宋体" w:hAnsi="宋体" w:eastAsia="宋体" w:cs="Times New Roman"/>
          <w:color w:val="auto"/>
          <w:kern w:val="2"/>
          <w:sz w:val="24"/>
          <w:szCs w:val="24"/>
          <w:highlight w:val="none"/>
          <w:lang w:val="en-US" w:eastAsia="zh-CN" w:bidi="ar-SA"/>
        </w:rPr>
        <w:t>甲方</w:t>
      </w:r>
      <w:r>
        <w:rPr>
          <w:rFonts w:ascii="宋体" w:hAnsi="宋体" w:eastAsia="宋体" w:cs="Times New Roman"/>
          <w:color w:val="auto"/>
          <w:kern w:val="2"/>
          <w:sz w:val="24"/>
          <w:szCs w:val="24"/>
          <w:highlight w:val="none"/>
          <w:lang w:val="en-US" w:eastAsia="zh-CN" w:bidi="ar-SA"/>
        </w:rPr>
        <w:t>项目所在地的人民法院起诉。</w:t>
      </w:r>
    </w:p>
    <w:p w14:paraId="0DD4F7F3">
      <w:pPr>
        <w:spacing w:line="5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1.9</w:t>
      </w:r>
      <w:r>
        <w:rPr>
          <w:rFonts w:hint="eastAsia" w:ascii="宋体" w:hAnsi="宋体" w:eastAsia="宋体" w:cs="Times New Roman"/>
          <w:b/>
          <w:color w:val="auto"/>
          <w:sz w:val="24"/>
          <w:highlight w:val="none"/>
        </w:rPr>
        <w:t>其他事项</w:t>
      </w:r>
      <w:r>
        <w:rPr>
          <w:rFonts w:ascii="宋体" w:hAnsi="宋体" w:eastAsia="宋体" w:cs="Times New Roman"/>
          <w:b/>
          <w:color w:val="auto"/>
          <w:sz w:val="24"/>
          <w:highlight w:val="none"/>
        </w:rPr>
        <w:t>：</w:t>
      </w:r>
    </w:p>
    <w:p w14:paraId="6BD068F0">
      <w:pPr>
        <w:spacing w:line="48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1.9.1本合同未尽事宜，双方可签订补充协议作为附件，补充协议与本合同具有同等效力。</w:t>
      </w:r>
    </w:p>
    <w:p w14:paraId="3F7AEC34">
      <w:pPr>
        <w:spacing w:line="48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1.9.2本合同一式</w:t>
      </w:r>
      <w:r>
        <w:rPr>
          <w:rFonts w:hint="eastAsia" w:ascii="宋体" w:hAnsi="宋体" w:eastAsia="宋体" w:cs="Times New Roman"/>
          <w:color w:val="auto"/>
          <w:sz w:val="24"/>
          <w:highlight w:val="none"/>
          <w:u w:val="single"/>
        </w:rPr>
        <w:t xml:space="preserve"> 4 </w:t>
      </w:r>
      <w:r>
        <w:rPr>
          <w:rFonts w:hint="eastAsia" w:ascii="宋体" w:hAnsi="宋体" w:eastAsia="宋体" w:cs="Times New Roman"/>
          <w:color w:val="auto"/>
          <w:sz w:val="24"/>
          <w:highlight w:val="none"/>
        </w:rPr>
        <w:t>份，甲方执</w:t>
      </w:r>
      <w:r>
        <w:rPr>
          <w:rFonts w:hint="eastAsia" w:ascii="宋体" w:hAnsi="宋体" w:eastAsia="宋体" w:cs="Times New Roman"/>
          <w:color w:val="auto"/>
          <w:sz w:val="24"/>
          <w:highlight w:val="none"/>
          <w:u w:val="single"/>
        </w:rPr>
        <w:t xml:space="preserve"> 2 </w:t>
      </w:r>
      <w:r>
        <w:rPr>
          <w:rFonts w:hint="eastAsia" w:ascii="宋体" w:hAnsi="宋体" w:eastAsia="宋体" w:cs="Times New Roman"/>
          <w:color w:val="auto"/>
          <w:sz w:val="24"/>
          <w:highlight w:val="none"/>
        </w:rPr>
        <w:t>份、乙方执</w:t>
      </w:r>
      <w:r>
        <w:rPr>
          <w:rFonts w:hint="eastAsia" w:ascii="宋体" w:hAnsi="宋体" w:eastAsia="宋体" w:cs="Times New Roman"/>
          <w:color w:val="auto"/>
          <w:sz w:val="24"/>
          <w:highlight w:val="none"/>
          <w:u w:val="single"/>
        </w:rPr>
        <w:t xml:space="preserve"> 2 </w:t>
      </w:r>
      <w:r>
        <w:rPr>
          <w:rFonts w:hint="eastAsia" w:ascii="宋体" w:hAnsi="宋体" w:eastAsia="宋体" w:cs="Times New Roman"/>
          <w:color w:val="auto"/>
          <w:sz w:val="24"/>
          <w:highlight w:val="none"/>
        </w:rPr>
        <w:t>份，经双方法人代表（或授权代表）签字或盖章后生效</w:t>
      </w:r>
      <w:r>
        <w:rPr>
          <w:rFonts w:ascii="Times New Roman" w:hAnsi="Times New Roman" w:eastAsia="宋体" w:cs="Times New Roman"/>
          <w:color w:val="auto"/>
          <w:sz w:val="24"/>
          <w:highlight w:val="none"/>
        </w:rPr>
        <w:t>，任何一方不得擅自涂改、变更或解除合同。</w:t>
      </w:r>
    </w:p>
    <w:p w14:paraId="4D729A98">
      <w:pPr>
        <w:spacing w:line="400" w:lineRule="exact"/>
        <w:ind w:firstLine="480" w:firstLineChars="200"/>
        <w:rPr>
          <w:rFonts w:hint="eastAsia" w:ascii="Times New Roman" w:hAnsi="Times New Roman" w:eastAsia="宋体" w:cs="Times New Roman"/>
          <w:bCs/>
          <w:color w:val="auto"/>
          <w:sz w:val="24"/>
          <w:szCs w:val="24"/>
          <w:highlight w:val="none"/>
        </w:rPr>
      </w:pPr>
    </w:p>
    <w:tbl>
      <w:tblPr>
        <w:tblStyle w:val="9"/>
        <w:tblW w:w="0" w:type="auto"/>
        <w:jc w:val="center"/>
        <w:tblLayout w:type="fixed"/>
        <w:tblCellMar>
          <w:top w:w="0" w:type="dxa"/>
          <w:left w:w="0" w:type="dxa"/>
          <w:bottom w:w="0" w:type="dxa"/>
          <w:right w:w="0" w:type="dxa"/>
        </w:tblCellMar>
      </w:tblPr>
      <w:tblGrid>
        <w:gridCol w:w="3935"/>
        <w:gridCol w:w="4344"/>
      </w:tblGrid>
      <w:tr w14:paraId="225073E1">
        <w:tblPrEx>
          <w:tblCellMar>
            <w:top w:w="0" w:type="dxa"/>
            <w:left w:w="0" w:type="dxa"/>
            <w:bottom w:w="0" w:type="dxa"/>
            <w:right w:w="0" w:type="dxa"/>
          </w:tblCellMar>
        </w:tblPrEx>
        <w:trPr>
          <w:trHeight w:val="956" w:hRule="atLeast"/>
          <w:jc w:val="center"/>
        </w:trPr>
        <w:tc>
          <w:tcPr>
            <w:tcW w:w="3935" w:type="dxa"/>
            <w:tcBorders>
              <w:top w:val="nil"/>
              <w:left w:val="nil"/>
              <w:bottom w:val="nil"/>
              <w:right w:val="nil"/>
            </w:tcBorders>
            <w:noWrap w:val="0"/>
            <w:vAlign w:val="top"/>
          </w:tcPr>
          <w:p w14:paraId="4DA312D7">
            <w:pPr>
              <w:widowControl/>
              <w:adjustRightInd w:val="0"/>
              <w:jc w:val="left"/>
              <w:rPr>
                <w:rFonts w:ascii="Times New Roman" w:hAnsi="Times New Roman" w:eastAsia="宋体" w:cs="Times New Roman"/>
                <w:color w:val="auto"/>
                <w:kern w:val="0"/>
                <w:sz w:val="24"/>
                <w:szCs w:val="24"/>
                <w:highlight w:val="none"/>
                <w:lang w:val="zh-CN"/>
              </w:rPr>
            </w:pPr>
          </w:p>
          <w:p w14:paraId="6987C4FF">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rPr>
              <w:t>发包</w:t>
            </w:r>
            <w:r>
              <w:rPr>
                <w:rFonts w:ascii="Times New Roman" w:hAnsi="Times New Roman" w:eastAsia="宋体" w:cs="Times New Roman"/>
                <w:color w:val="auto"/>
                <w:kern w:val="0"/>
                <w:sz w:val="24"/>
                <w:szCs w:val="24"/>
                <w:highlight w:val="none"/>
                <w:lang w:val="zh-CN"/>
              </w:rPr>
              <w:t>方（采购人）：（盖章）</w:t>
            </w:r>
          </w:p>
        </w:tc>
        <w:tc>
          <w:tcPr>
            <w:tcW w:w="4344" w:type="dxa"/>
            <w:tcBorders>
              <w:top w:val="nil"/>
              <w:left w:val="nil"/>
              <w:bottom w:val="nil"/>
              <w:right w:val="nil"/>
            </w:tcBorders>
            <w:noWrap w:val="0"/>
            <w:vAlign w:val="top"/>
          </w:tcPr>
          <w:p w14:paraId="44F59109">
            <w:pPr>
              <w:widowControl/>
              <w:adjustRightInd w:val="0"/>
              <w:jc w:val="left"/>
              <w:rPr>
                <w:rFonts w:ascii="Times New Roman" w:hAnsi="Times New Roman" w:eastAsia="宋体" w:cs="Times New Roman"/>
                <w:color w:val="auto"/>
                <w:kern w:val="0"/>
                <w:sz w:val="24"/>
                <w:szCs w:val="24"/>
                <w:highlight w:val="none"/>
                <w:lang w:val="zh-CN"/>
              </w:rPr>
            </w:pPr>
          </w:p>
          <w:p w14:paraId="28A22AE1">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受托</w:t>
            </w:r>
            <w:r>
              <w:rPr>
                <w:rFonts w:ascii="Times New Roman" w:hAnsi="Times New Roman" w:eastAsia="宋体" w:cs="Times New Roman"/>
                <w:color w:val="auto"/>
                <w:kern w:val="0"/>
                <w:sz w:val="24"/>
                <w:szCs w:val="24"/>
                <w:highlight w:val="none"/>
              </w:rPr>
              <w:t>方</w:t>
            </w:r>
            <w:r>
              <w:rPr>
                <w:rFonts w:ascii="Times New Roman" w:hAnsi="Times New Roman" w:eastAsia="宋体" w:cs="Times New Roman"/>
                <w:color w:val="auto"/>
                <w:kern w:val="0"/>
                <w:sz w:val="24"/>
                <w:szCs w:val="24"/>
                <w:highlight w:val="none"/>
                <w:lang w:val="zh-CN"/>
              </w:rPr>
              <w:t>（供应商）：（盖章）</w:t>
            </w:r>
          </w:p>
        </w:tc>
      </w:tr>
      <w:tr w14:paraId="450CBCD4">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227B04D8">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代表人签字：</w:t>
            </w:r>
          </w:p>
        </w:tc>
        <w:tc>
          <w:tcPr>
            <w:tcW w:w="4344" w:type="dxa"/>
            <w:tcBorders>
              <w:top w:val="nil"/>
              <w:left w:val="nil"/>
              <w:bottom w:val="nil"/>
              <w:right w:val="nil"/>
            </w:tcBorders>
            <w:noWrap w:val="0"/>
            <w:vAlign w:val="top"/>
          </w:tcPr>
          <w:p w14:paraId="7DC86C44">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代表人签字</w:t>
            </w:r>
            <w:r>
              <w:rPr>
                <w:rFonts w:ascii="Times New Roman" w:hAnsi="Times New Roman" w:eastAsia="宋体" w:cs="Times New Roman"/>
                <w:color w:val="auto"/>
                <w:kern w:val="0"/>
                <w:sz w:val="24"/>
                <w:szCs w:val="24"/>
                <w:highlight w:val="none"/>
              </w:rPr>
              <w:t>：</w:t>
            </w:r>
          </w:p>
        </w:tc>
      </w:tr>
      <w:tr w14:paraId="0E0A99F9">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53D79499">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电话：</w:t>
            </w:r>
          </w:p>
        </w:tc>
        <w:tc>
          <w:tcPr>
            <w:tcW w:w="4344" w:type="dxa"/>
            <w:tcBorders>
              <w:top w:val="nil"/>
              <w:left w:val="nil"/>
              <w:bottom w:val="nil"/>
              <w:right w:val="nil"/>
            </w:tcBorders>
            <w:noWrap w:val="0"/>
            <w:vAlign w:val="top"/>
          </w:tcPr>
          <w:p w14:paraId="203F0ADD">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电话：</w:t>
            </w:r>
          </w:p>
        </w:tc>
      </w:tr>
      <w:tr w14:paraId="4F41C638">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29471E0D">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开户银行：</w:t>
            </w:r>
          </w:p>
        </w:tc>
        <w:tc>
          <w:tcPr>
            <w:tcW w:w="4344" w:type="dxa"/>
            <w:tcBorders>
              <w:top w:val="nil"/>
              <w:left w:val="nil"/>
              <w:bottom w:val="nil"/>
              <w:right w:val="nil"/>
            </w:tcBorders>
            <w:noWrap w:val="0"/>
            <w:vAlign w:val="top"/>
          </w:tcPr>
          <w:p w14:paraId="379E7F51">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开户银行：</w:t>
            </w:r>
          </w:p>
        </w:tc>
      </w:tr>
      <w:tr w14:paraId="084F488A">
        <w:tblPrEx>
          <w:tblCellMar>
            <w:top w:w="0" w:type="dxa"/>
            <w:left w:w="0" w:type="dxa"/>
            <w:bottom w:w="0" w:type="dxa"/>
            <w:right w:w="0" w:type="dxa"/>
          </w:tblCellMar>
        </w:tblPrEx>
        <w:trPr>
          <w:trHeight w:val="956" w:hRule="atLeast"/>
          <w:jc w:val="center"/>
        </w:trPr>
        <w:tc>
          <w:tcPr>
            <w:tcW w:w="3935" w:type="dxa"/>
            <w:tcBorders>
              <w:top w:val="nil"/>
              <w:left w:val="nil"/>
              <w:bottom w:val="nil"/>
              <w:right w:val="nil"/>
            </w:tcBorders>
            <w:noWrap w:val="0"/>
            <w:vAlign w:val="top"/>
          </w:tcPr>
          <w:p w14:paraId="6F98C087">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账号：</w:t>
            </w:r>
          </w:p>
        </w:tc>
        <w:tc>
          <w:tcPr>
            <w:tcW w:w="4344" w:type="dxa"/>
            <w:tcBorders>
              <w:top w:val="nil"/>
              <w:left w:val="nil"/>
              <w:bottom w:val="nil"/>
              <w:right w:val="nil"/>
            </w:tcBorders>
            <w:noWrap w:val="0"/>
            <w:vAlign w:val="top"/>
          </w:tcPr>
          <w:p w14:paraId="3DB12DE4">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账号：</w:t>
            </w:r>
          </w:p>
          <w:p w14:paraId="0CEC2CB5">
            <w:pPr>
              <w:widowControl/>
              <w:adjustRightInd w:val="0"/>
              <w:jc w:val="left"/>
              <w:rPr>
                <w:rFonts w:ascii="Times New Roman" w:hAnsi="Times New Roman" w:eastAsia="宋体" w:cs="Times New Roman"/>
                <w:color w:val="auto"/>
                <w:kern w:val="0"/>
                <w:sz w:val="24"/>
                <w:szCs w:val="24"/>
                <w:highlight w:val="none"/>
                <w:lang w:val="zh-CN"/>
              </w:rPr>
            </w:pPr>
          </w:p>
        </w:tc>
      </w:tr>
      <w:tr w14:paraId="0CEC72C3">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03CC97C0">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住所：</w:t>
            </w:r>
          </w:p>
        </w:tc>
        <w:tc>
          <w:tcPr>
            <w:tcW w:w="4344" w:type="dxa"/>
            <w:tcBorders>
              <w:top w:val="nil"/>
              <w:left w:val="nil"/>
              <w:bottom w:val="nil"/>
              <w:right w:val="nil"/>
            </w:tcBorders>
            <w:noWrap w:val="0"/>
            <w:vAlign w:val="top"/>
          </w:tcPr>
          <w:p w14:paraId="652B9CA7">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住所：</w:t>
            </w:r>
          </w:p>
        </w:tc>
      </w:tr>
      <w:tr w14:paraId="44B2C7E4">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656147D5">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日期：年月日</w:t>
            </w:r>
          </w:p>
        </w:tc>
        <w:tc>
          <w:tcPr>
            <w:tcW w:w="4344" w:type="dxa"/>
            <w:tcBorders>
              <w:top w:val="nil"/>
              <w:left w:val="nil"/>
              <w:bottom w:val="nil"/>
              <w:right w:val="nil"/>
            </w:tcBorders>
            <w:noWrap w:val="0"/>
            <w:vAlign w:val="top"/>
          </w:tcPr>
          <w:p w14:paraId="4A92B5C3">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日期：年月日</w:t>
            </w:r>
          </w:p>
        </w:tc>
      </w:tr>
    </w:tbl>
    <w:p w14:paraId="3CB59400">
      <w:pPr>
        <w:widowControl w:val="0"/>
        <w:autoSpaceDE w:val="0"/>
        <w:autoSpaceDN w:val="0"/>
        <w:adjustRightInd w:val="0"/>
        <w:spacing w:line="560" w:lineRule="exact"/>
        <w:ind w:firstLine="200"/>
        <w:jc w:val="center"/>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黑体" w:cs="Times New Roman"/>
          <w:color w:val="auto"/>
          <w:kern w:val="2"/>
          <w:sz w:val="28"/>
          <w:szCs w:val="22"/>
          <w:highlight w:val="none"/>
          <w:lang w:val="en-US" w:eastAsia="zh-CN" w:bidi="ar-SA"/>
        </w:rPr>
        <w:br w:type="page"/>
      </w:r>
      <w:r>
        <w:rPr>
          <w:rFonts w:ascii="Times New Roman" w:hAnsi="Times New Roman" w:eastAsia="宋体" w:cs="Times New Roman"/>
          <w:b/>
          <w:color w:val="auto"/>
          <w:kern w:val="2"/>
          <w:sz w:val="24"/>
          <w:szCs w:val="24"/>
          <w:highlight w:val="none"/>
          <w:lang w:val="en-US" w:eastAsia="zh-CN" w:bidi="ar-SA"/>
        </w:rPr>
        <w:t>第二部分 合同一般条款</w:t>
      </w:r>
    </w:p>
    <w:p w14:paraId="27C6F2B2">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 定义</w:t>
      </w:r>
    </w:p>
    <w:p w14:paraId="0BA9405C">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本合同中的下列词语应按以下内容进行解释：</w:t>
      </w:r>
    </w:p>
    <w:p w14:paraId="1FF2CB2B">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2.1.1 “合同”系指采购人和</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签订的载明双方当事人所达成的协议，并包括所有的附件、附录和构成合同的其他文件。</w:t>
      </w:r>
    </w:p>
    <w:p w14:paraId="3811DFB7">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2.1.2 “合同价”系指根据合同约定，</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在完全履行合同义务后，采购人应支付给</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的价格。</w:t>
      </w:r>
    </w:p>
    <w:p w14:paraId="6F8A4CF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2.1.3 “服务”系指</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根据合同约定应向采购人履行的除货物和工程以外的其他政府采购对象，包括采购人自身需要的服务和向社会公众提供的公共服务。</w:t>
      </w:r>
    </w:p>
    <w:p w14:paraId="043B2FA6">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2.1.4 “甲方”系指与</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签署合同的采购人；采购人委托采购代理机构代表其与乙方签订合同的，采购人的授权委托书作为合同附件。</w:t>
      </w:r>
    </w:p>
    <w:p w14:paraId="7E344EB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2.1.5 “乙方”系指根据合同约定提供服务的</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35243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2.1.6 “现场”系指合同约定提供服务的地点。</w:t>
      </w:r>
    </w:p>
    <w:p w14:paraId="12BA2D06">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2.2 技术规范</w:t>
      </w:r>
    </w:p>
    <w:p w14:paraId="38EF598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服务所应遵守的技术规范应与</w:t>
      </w:r>
      <w:r>
        <w:rPr>
          <w:rFonts w:hint="eastAsia" w:ascii="Times New Roman" w:hAnsi="Times New Roman" w:eastAsia="宋体" w:cs="Times New Roman"/>
          <w:color w:val="auto"/>
          <w:sz w:val="24"/>
          <w:szCs w:val="24"/>
          <w:highlight w:val="none"/>
        </w:rPr>
        <w:t>采购文件</w:t>
      </w:r>
      <w:r>
        <w:rPr>
          <w:rFonts w:ascii="Times New Roman" w:hAnsi="Times New Roman" w:eastAsia="宋体" w:cs="Times New Roman"/>
          <w:color w:val="auto"/>
          <w:sz w:val="24"/>
          <w:szCs w:val="24"/>
          <w:highlight w:val="none"/>
        </w:rPr>
        <w:t>规定的技术规范和技术规范附件(如果有的话)及其技术规范偏差表(如果被甲方接受的话)相一致；如果</w:t>
      </w:r>
      <w:r>
        <w:rPr>
          <w:rFonts w:hint="eastAsia" w:ascii="Times New Roman" w:hAnsi="Times New Roman" w:eastAsia="宋体" w:cs="Times New Roman"/>
          <w:color w:val="auto"/>
          <w:sz w:val="24"/>
          <w:szCs w:val="24"/>
          <w:highlight w:val="none"/>
        </w:rPr>
        <w:t>采购文件</w:t>
      </w:r>
      <w:r>
        <w:rPr>
          <w:rFonts w:ascii="Times New Roman" w:hAnsi="Times New Roman" w:eastAsia="宋体" w:cs="Times New Roman"/>
          <w:color w:val="auto"/>
          <w:sz w:val="24"/>
          <w:szCs w:val="24"/>
          <w:highlight w:val="none"/>
        </w:rPr>
        <w:t>中没有技术规范的相应说明，那么应以国家有关部门最新颁布的相应标准和规范为准。</w:t>
      </w:r>
    </w:p>
    <w:p w14:paraId="494F04B3">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2.3 知识产权</w:t>
      </w:r>
    </w:p>
    <w:p w14:paraId="5ED3BD0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79BF32A">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2.3.2 技术成果归属甲方。</w:t>
      </w:r>
    </w:p>
    <w:p w14:paraId="745C184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2.4 履约检查和问题反馈</w:t>
      </w:r>
    </w:p>
    <w:p w14:paraId="3EE17C8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DD7BF9F">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2.4.2 合同履行期间，甲方有权将履行过程中出现的问题反馈给乙方，双方当事人应以书面形式约定需要完善和改进的内容。</w:t>
      </w:r>
    </w:p>
    <w:p w14:paraId="64581BF8">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2.5 技术资料和保密义务</w:t>
      </w:r>
    </w:p>
    <w:p w14:paraId="0B2D40B6">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2.5.1 乙方有权依据合同约定和项目需要，向甲方了解有关情况，调阅有关资料等，甲方应予积极配合；</w:t>
      </w:r>
    </w:p>
    <w:p w14:paraId="391FD6D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2.5.2 乙方有义务妥善保管和保护由甲方提供的前款信息和资料等；</w:t>
      </w:r>
    </w:p>
    <w:p w14:paraId="071AEDB6">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556C8D">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2.6 质量保证</w:t>
      </w:r>
    </w:p>
    <w:p w14:paraId="06C8B03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2.6.1 乙方应建立和完善履行合同的内部质量保证体系，并提供相关内部规章制度给甲方，以便甲方进行监督检查；</w:t>
      </w:r>
    </w:p>
    <w:p w14:paraId="122A9F5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2.6.2 乙方应保证履行合同的人员数量和素质、软件和硬件设备的配置、场地、环境和设施等满足全面履行合同的要求，并应接受甲方的监督检查。</w:t>
      </w:r>
    </w:p>
    <w:p w14:paraId="346D5390">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2.7 延迟履行</w:t>
      </w:r>
    </w:p>
    <w:p w14:paraId="47D5964E">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9A2CB25">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2.8 合同变更</w:t>
      </w:r>
    </w:p>
    <w:p w14:paraId="2DFB33A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2.8.1 双方当事人协商一致，可以签订书面补充合同的形式变更合同，但不得违背</w:t>
      </w:r>
      <w:r>
        <w:rPr>
          <w:rFonts w:hint="eastAsia" w:ascii="Times New Roman" w:hAnsi="Times New Roman" w:eastAsia="宋体" w:cs="Times New Roman"/>
          <w:color w:val="auto"/>
          <w:sz w:val="24"/>
          <w:szCs w:val="24"/>
          <w:highlight w:val="none"/>
        </w:rPr>
        <w:t>采购文件</w:t>
      </w:r>
      <w:r>
        <w:rPr>
          <w:rFonts w:ascii="Times New Roman" w:hAnsi="Times New Roman" w:eastAsia="宋体" w:cs="Times New Roman"/>
          <w:color w:val="auto"/>
          <w:sz w:val="24"/>
          <w:szCs w:val="24"/>
          <w:highlight w:val="none"/>
        </w:rPr>
        <w:t>确定的事项，且如果系追加与合同标的相同的服务的，那么所有补充合同的采购金额不得超过原合同价的10%；</w:t>
      </w:r>
    </w:p>
    <w:p w14:paraId="37C0020C">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2.8.2 合同继续履行将损害国家利益和社会公共利益的，双方当事人应当以书面形式变更合同。有过错的一方应当承担赔偿责任，双方当事人都有过错的，各自承担相应的责任。</w:t>
      </w:r>
    </w:p>
    <w:p w14:paraId="0C3666D3">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2.9 合同转让和分包</w:t>
      </w:r>
    </w:p>
    <w:p w14:paraId="782921E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rPr>
        <w:t>合同的权利义务依法不得转让，如</w:t>
      </w:r>
      <w:r>
        <w:rPr>
          <w:rFonts w:hint="eastAsia" w:ascii="Times New Roman" w:hAnsi="Times New Roman" w:eastAsia="宋体" w:cs="Times New Roman"/>
          <w:color w:val="auto"/>
          <w:sz w:val="24"/>
          <w:highlight w:val="none"/>
        </w:rPr>
        <w:t>采购文件</w:t>
      </w:r>
      <w:r>
        <w:rPr>
          <w:rFonts w:ascii="Times New Roman" w:hAnsi="Times New Roman" w:eastAsia="宋体" w:cs="Times New Roman"/>
          <w:color w:val="auto"/>
          <w:sz w:val="24"/>
          <w:highlight w:val="none"/>
        </w:rPr>
        <w:t>“第一章 报价邀请函”中甲方接受</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后分包，</w:t>
      </w:r>
      <w:r>
        <w:rPr>
          <w:rFonts w:ascii="Times New Roman" w:hAnsi="Times New Roman" w:eastAsia="宋体" w:cs="Times New Roman"/>
          <w:color w:val="auto"/>
          <w:sz w:val="24"/>
          <w:szCs w:val="24"/>
          <w:highlight w:val="none"/>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99BF37F">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2.10 不可抗力</w:t>
      </w:r>
    </w:p>
    <w:p w14:paraId="426465E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2.10.1如果任何一方遭遇法律规定的不可抗力，致使合同履行受阻时，履行合同的期限应予延长，延长的期限应相当于不可抗力所影响的时间；</w:t>
      </w:r>
    </w:p>
    <w:p w14:paraId="40946C6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2.10.2 因不可抗力致使不能实现合同目的的，当事人可以解除合同；</w:t>
      </w:r>
    </w:p>
    <w:p w14:paraId="269A0149">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2.10.3 因不可抗力致使合同有变更必要的，</w:t>
      </w:r>
      <w:r>
        <w:rPr>
          <w:rFonts w:ascii="Times New Roman" w:hAnsi="Times New Roman" w:eastAsia="宋体" w:cs="Times New Roman"/>
          <w:color w:val="auto"/>
          <w:sz w:val="24"/>
          <w:highlight w:val="none"/>
        </w:rPr>
        <w:t>双方当事人应在约定时间内以书面形式变更合同</w:t>
      </w:r>
      <w:r>
        <w:rPr>
          <w:rFonts w:ascii="Times New Roman" w:hAnsi="Times New Roman" w:eastAsia="宋体" w:cs="Times New Roman"/>
          <w:color w:val="auto"/>
          <w:sz w:val="24"/>
          <w:szCs w:val="24"/>
          <w:highlight w:val="none"/>
        </w:rPr>
        <w:t>；</w:t>
      </w:r>
    </w:p>
    <w:p w14:paraId="20E310FA">
      <w:pPr>
        <w:spacing w:line="560" w:lineRule="exact"/>
        <w:ind w:firstLine="480" w:firstLineChars="200"/>
        <w:rPr>
          <w:rFonts w:ascii="Times New Roman" w:hAnsi="Times New Roman" w:eastAsia="宋体" w:cs="Times New Roman"/>
          <w:bCs/>
          <w:color w:val="auto"/>
          <w:sz w:val="24"/>
          <w:highlight w:val="none"/>
          <w:lang w:val="zh-CN"/>
        </w:rPr>
      </w:pPr>
      <w:r>
        <w:rPr>
          <w:rFonts w:ascii="Times New Roman" w:hAnsi="Times New Roman" w:eastAsia="宋体" w:cs="Times New Roman"/>
          <w:color w:val="auto"/>
          <w:sz w:val="24"/>
          <w:szCs w:val="24"/>
          <w:highlight w:val="none"/>
        </w:rPr>
        <w:t xml:space="preserve">2.10.4 </w:t>
      </w:r>
      <w:r>
        <w:rPr>
          <w:rFonts w:ascii="Times New Roman" w:hAnsi="Times New Roman" w:eastAsia="宋体" w:cs="Times New Roman"/>
          <w:bCs/>
          <w:color w:val="auto"/>
          <w:sz w:val="24"/>
          <w:highlight w:val="none"/>
          <w:lang w:val="zh-CN"/>
        </w:rPr>
        <w:t>如遭遇不可抗力事件，遭遇不可抗力的一方应尽快以书面形式将不可抗力的情况和原因通知另一方，并</w:t>
      </w:r>
      <w:r>
        <w:rPr>
          <w:rFonts w:ascii="Times New Roman" w:hAnsi="Times New Roman" w:eastAsia="宋体" w:cs="Times New Roman"/>
          <w:color w:val="auto"/>
          <w:sz w:val="24"/>
          <w:highlight w:val="none"/>
        </w:rPr>
        <w:t>将有关部门出具的证明文件送达对方当事人，</w:t>
      </w:r>
      <w:r>
        <w:rPr>
          <w:rFonts w:ascii="Times New Roman" w:hAnsi="Times New Roman" w:eastAsia="宋体" w:cs="Times New Roman"/>
          <w:bCs/>
          <w:color w:val="auto"/>
          <w:sz w:val="24"/>
          <w:highlight w:val="none"/>
          <w:lang w:val="zh-CN"/>
        </w:rPr>
        <w:t>积极采取措施防止损失扩大。因不可抗力造成的损失，甲乙双方按照法律规定处理；</w:t>
      </w:r>
    </w:p>
    <w:p w14:paraId="4E1E9E4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rPr>
        <w:t xml:space="preserve">2.10.5 </w:t>
      </w:r>
      <w:r>
        <w:rPr>
          <w:rFonts w:ascii="Times New Roman" w:hAnsi="Times New Roman" w:eastAsia="宋体" w:cs="Times New Roman"/>
          <w:bCs/>
          <w:color w:val="auto"/>
          <w:sz w:val="24"/>
          <w:highlight w:val="none"/>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0AA42F3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2.11 税费</w:t>
      </w:r>
    </w:p>
    <w:p w14:paraId="6022FB1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与合同有关的一切税费，均按照中华人民共和国法律的相关规定缴纳。</w:t>
      </w:r>
    </w:p>
    <w:p w14:paraId="005D264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2.12 乙方破产</w:t>
      </w:r>
    </w:p>
    <w:p w14:paraId="3162A077">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13D45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2.13 合同中止、终止</w:t>
      </w:r>
    </w:p>
    <w:p w14:paraId="5755197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2.13.1 双方当事人不得擅自中止或者终止合同；</w:t>
      </w:r>
    </w:p>
    <w:p w14:paraId="742436E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14:paraId="50E9E65F">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2.14 检验和验收</w:t>
      </w:r>
    </w:p>
    <w:p w14:paraId="2BEE4DBC">
      <w:pPr>
        <w:tabs>
          <w:tab w:val="left" w:pos="360"/>
          <w:tab w:val="left" w:pos="540"/>
          <w:tab w:val="left" w:pos="1080"/>
        </w:tabs>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2.14.1 乙方按照约定，定期提交服务报告，甲方定期进行验收；</w:t>
      </w:r>
    </w:p>
    <w:p w14:paraId="696E093D">
      <w:pPr>
        <w:tabs>
          <w:tab w:val="left" w:pos="360"/>
          <w:tab w:val="left" w:pos="540"/>
          <w:tab w:val="left" w:pos="1080"/>
        </w:tabs>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2.14.2 合同期满或者履行完毕后，甲方有权组织（包括依法邀请国家认可的质量检测机构参加）对乙方履约的验收；</w:t>
      </w:r>
    </w:p>
    <w:p w14:paraId="4AFBCD21">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2.15 通知和送达</w:t>
      </w:r>
    </w:p>
    <w:p w14:paraId="2E04CE17">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2.15.1 任何一方因履行合同而以合同第一部分尾部所列明的发出的所有通知、文件、材料，均视为已向对方当事人送达；任何一方变更上述送达方式或者地址的，应于个</w:t>
      </w:r>
      <w:r>
        <w:rPr>
          <w:rFonts w:hint="eastAsia"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工作日内书面通知对方当事人，在对方当事人收到有关变更通知之前，变更前的约定送达方式或者地址仍视为有效。</w:t>
      </w:r>
    </w:p>
    <w:p w14:paraId="12649ED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14:paraId="30E7BCE1">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2.16 合同使用的文字和适用的法律</w:t>
      </w:r>
    </w:p>
    <w:p w14:paraId="386799F1">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2.16.1 合同使用汉语书就、变更和解释；</w:t>
      </w:r>
    </w:p>
    <w:p w14:paraId="30F14FE9">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2.16.2 合同适用中华人民共和国法律。</w:t>
      </w:r>
    </w:p>
    <w:p w14:paraId="2924448A">
      <w:pPr>
        <w:spacing w:line="560" w:lineRule="exact"/>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2.17 履约保证金</w:t>
      </w:r>
    </w:p>
    <w:p w14:paraId="22CEFAAE">
      <w:pPr>
        <w:spacing w:line="560" w:lineRule="exact"/>
        <w:ind w:firstLine="480" w:firstLineChars="20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2.17.1 签订合同前，中标供应商须按下表要求交纳中标合同总金额</w:t>
      </w:r>
      <w:r>
        <w:rPr>
          <w:rFonts w:hint="eastAsia" w:ascii="宋体" w:hAnsi="宋体" w:eastAsia="宋体" w:cs="宋体"/>
          <w:color w:val="auto"/>
          <w:sz w:val="24"/>
          <w:szCs w:val="24"/>
          <w:highlight w:val="none"/>
          <w:u w:val="single"/>
          <w:lang w:val="en-US" w:eastAsia="zh-CN"/>
        </w:rPr>
        <w:t xml:space="preserve"> 10%</w:t>
      </w:r>
      <w:r>
        <w:rPr>
          <w:rFonts w:hint="eastAsia" w:ascii="宋体" w:hAnsi="宋体" w:eastAsia="宋体" w:cs="宋体"/>
          <w:color w:val="auto"/>
          <w:sz w:val="24"/>
          <w:szCs w:val="24"/>
          <w:highlight w:val="none"/>
          <w:lang w:val="en-US" w:eastAsia="zh-CN"/>
        </w:rPr>
        <w:t>的履约保证金。</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4426"/>
        <w:gridCol w:w="873"/>
        <w:gridCol w:w="1761"/>
      </w:tblGrid>
      <w:tr w14:paraId="03DB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0" w:type="dxa"/>
            <w:noWrap w:val="0"/>
            <w:vAlign w:val="center"/>
          </w:tcPr>
          <w:p w14:paraId="418E43FB">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收款单位</w:t>
            </w:r>
          </w:p>
        </w:tc>
        <w:tc>
          <w:tcPr>
            <w:tcW w:w="4426" w:type="dxa"/>
            <w:noWrap w:val="0"/>
            <w:vAlign w:val="center"/>
          </w:tcPr>
          <w:p w14:paraId="7AA2F948">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江苏宜公投蓝藻资源开发有限公司</w:t>
            </w:r>
          </w:p>
        </w:tc>
        <w:tc>
          <w:tcPr>
            <w:tcW w:w="873" w:type="dxa"/>
            <w:vMerge w:val="restart"/>
            <w:noWrap w:val="0"/>
            <w:vAlign w:val="center"/>
          </w:tcPr>
          <w:p w14:paraId="38B179A9">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交纳形式</w:t>
            </w:r>
          </w:p>
        </w:tc>
        <w:tc>
          <w:tcPr>
            <w:tcW w:w="1761" w:type="dxa"/>
            <w:vMerge w:val="restart"/>
            <w:noWrap w:val="0"/>
            <w:vAlign w:val="center"/>
          </w:tcPr>
          <w:p w14:paraId="555458C4">
            <w:pPr>
              <w:spacing w:line="560" w:lineRule="exact"/>
              <w:jc w:val="center"/>
              <w:rPr>
                <w:rFonts w:hint="eastAsia" w:ascii="宋体" w:hAnsi="宋体" w:eastAsia="宋体" w:cs="宋体"/>
                <w:color w:val="auto"/>
                <w:sz w:val="24"/>
                <w:szCs w:val="24"/>
                <w:highlight w:val="none"/>
                <w:vertAlign w:val="baseline"/>
                <w:lang w:val="en-US" w:eastAsia="zh-CN"/>
              </w:rPr>
            </w:pPr>
          </w:p>
        </w:tc>
      </w:tr>
      <w:tr w14:paraId="43C8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0" w:type="dxa"/>
            <w:noWrap w:val="0"/>
            <w:vAlign w:val="center"/>
          </w:tcPr>
          <w:p w14:paraId="16BC77FB">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开户行</w:t>
            </w:r>
          </w:p>
        </w:tc>
        <w:tc>
          <w:tcPr>
            <w:tcW w:w="4426" w:type="dxa"/>
            <w:noWrap w:val="0"/>
            <w:vAlign w:val="center"/>
          </w:tcPr>
          <w:p w14:paraId="12F1BAFC">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中国银行宜兴周铁支行</w:t>
            </w:r>
          </w:p>
        </w:tc>
        <w:tc>
          <w:tcPr>
            <w:tcW w:w="873" w:type="dxa"/>
            <w:vMerge w:val="continue"/>
            <w:noWrap w:val="0"/>
            <w:vAlign w:val="center"/>
          </w:tcPr>
          <w:p w14:paraId="3FF8D41A">
            <w:pPr>
              <w:spacing w:line="560" w:lineRule="exact"/>
              <w:jc w:val="center"/>
              <w:rPr>
                <w:rFonts w:hint="eastAsia" w:ascii="宋体" w:hAnsi="宋体" w:eastAsia="宋体" w:cs="宋体"/>
                <w:color w:val="auto"/>
                <w:sz w:val="24"/>
                <w:szCs w:val="24"/>
                <w:highlight w:val="none"/>
                <w:vertAlign w:val="baseline"/>
                <w:lang w:val="en-US" w:eastAsia="zh-CN"/>
              </w:rPr>
            </w:pPr>
          </w:p>
        </w:tc>
        <w:tc>
          <w:tcPr>
            <w:tcW w:w="1761" w:type="dxa"/>
            <w:vMerge w:val="continue"/>
            <w:noWrap w:val="0"/>
            <w:vAlign w:val="center"/>
          </w:tcPr>
          <w:p w14:paraId="2E6EB184">
            <w:pPr>
              <w:spacing w:line="560" w:lineRule="exact"/>
              <w:jc w:val="center"/>
              <w:rPr>
                <w:rFonts w:hint="eastAsia" w:ascii="宋体" w:hAnsi="宋体" w:eastAsia="宋体" w:cs="宋体"/>
                <w:color w:val="auto"/>
                <w:sz w:val="24"/>
                <w:szCs w:val="24"/>
                <w:highlight w:val="none"/>
                <w:vertAlign w:val="baseline"/>
                <w:lang w:val="en-US" w:eastAsia="zh-CN"/>
              </w:rPr>
            </w:pPr>
          </w:p>
        </w:tc>
      </w:tr>
      <w:tr w14:paraId="0D1D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0" w:type="dxa"/>
            <w:noWrap w:val="0"/>
            <w:vAlign w:val="center"/>
          </w:tcPr>
          <w:p w14:paraId="736E09B3">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账 号</w:t>
            </w:r>
          </w:p>
        </w:tc>
        <w:tc>
          <w:tcPr>
            <w:tcW w:w="4426" w:type="dxa"/>
            <w:noWrap w:val="0"/>
            <w:vAlign w:val="center"/>
          </w:tcPr>
          <w:p w14:paraId="23F75097">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519674450517</w:t>
            </w:r>
          </w:p>
        </w:tc>
        <w:tc>
          <w:tcPr>
            <w:tcW w:w="873" w:type="dxa"/>
            <w:vMerge w:val="continue"/>
            <w:noWrap w:val="0"/>
            <w:vAlign w:val="center"/>
          </w:tcPr>
          <w:p w14:paraId="2722FB2D">
            <w:pPr>
              <w:spacing w:line="560" w:lineRule="exact"/>
              <w:jc w:val="center"/>
              <w:rPr>
                <w:rFonts w:hint="eastAsia" w:ascii="宋体" w:hAnsi="宋体" w:eastAsia="宋体" w:cs="宋体"/>
                <w:color w:val="auto"/>
                <w:sz w:val="24"/>
                <w:szCs w:val="24"/>
                <w:highlight w:val="none"/>
                <w:vertAlign w:val="baseline"/>
                <w:lang w:val="en-US" w:eastAsia="zh-CN"/>
              </w:rPr>
            </w:pPr>
          </w:p>
        </w:tc>
        <w:tc>
          <w:tcPr>
            <w:tcW w:w="1761" w:type="dxa"/>
            <w:vMerge w:val="continue"/>
            <w:noWrap w:val="0"/>
            <w:vAlign w:val="center"/>
          </w:tcPr>
          <w:p w14:paraId="22EEF963">
            <w:pPr>
              <w:spacing w:line="560" w:lineRule="exact"/>
              <w:jc w:val="center"/>
              <w:rPr>
                <w:rFonts w:hint="eastAsia" w:ascii="宋体" w:hAnsi="宋体" w:eastAsia="宋体" w:cs="宋体"/>
                <w:color w:val="auto"/>
                <w:sz w:val="24"/>
                <w:szCs w:val="24"/>
                <w:highlight w:val="none"/>
                <w:vertAlign w:val="baseline"/>
                <w:lang w:val="en-US" w:eastAsia="zh-CN"/>
              </w:rPr>
            </w:pPr>
          </w:p>
        </w:tc>
      </w:tr>
    </w:tbl>
    <w:p w14:paraId="0E7AF299">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2.17.2 （1）若乙方缴纳履约保证金的形式为开具银行保函，需确保保函有效期覆盖合同期。若合同在执行过程中保函即将过期，乙方需提前一个月重新开具银行保函交至甲方，否则甲方将停付进度款。（2）履约保证金于合同履约结束之日起三十个工作日内无息退还。</w:t>
      </w:r>
    </w:p>
    <w:p w14:paraId="68E8DD4E">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2459D3">
      <w:pPr>
        <w:spacing w:line="560" w:lineRule="exact"/>
        <w:ind w:firstLine="480" w:firstLineChars="200"/>
        <w:rPr>
          <w:rFonts w:ascii="黑体" w:hAnsi="黑体" w:eastAsia="黑体" w:cs="Times New Roman"/>
          <w:color w:val="auto"/>
          <w:sz w:val="28"/>
          <w:highlight w:val="none"/>
        </w:rPr>
      </w:pPr>
      <w:r>
        <w:rPr>
          <w:rFonts w:hint="eastAsia" w:ascii="宋体" w:hAnsi="宋体" w:eastAsia="宋体" w:cs="宋体"/>
          <w:color w:val="auto"/>
          <w:sz w:val="24"/>
          <w:szCs w:val="24"/>
          <w:highlight w:val="none"/>
          <w:lang w:val="en-US" w:eastAsia="zh-CN"/>
        </w:rPr>
        <w:t>2.17.4 如果甲方未及时退还履约保证金，相关责任由甲乙双方在合同中自行约定。</w:t>
      </w:r>
    </w:p>
    <w:p w14:paraId="37B5D88C">
      <w:pPr>
        <w:spacing w:line="560" w:lineRule="exact"/>
        <w:ind w:firstLine="480" w:firstLineChars="200"/>
        <w:rPr>
          <w:rFonts w:hint="eastAsia" w:ascii="Times New Roman" w:hAnsi="Times New Roman" w:eastAsia="宋体" w:cs="Times New Roman"/>
          <w:color w:val="auto"/>
          <w:sz w:val="24"/>
          <w:szCs w:val="24"/>
          <w:highlight w:val="none"/>
        </w:rPr>
      </w:pPr>
    </w:p>
    <w:p w14:paraId="1F8970D8">
      <w:pPr>
        <w:rPr>
          <w:rFonts w:hint="eastAsia" w:ascii="Times New Roman" w:hAnsi="Times New Roman" w:eastAsia="宋体" w:cs="Times New Roman"/>
          <w:color w:val="auto"/>
          <w:highlight w:val="none"/>
        </w:rPr>
      </w:pPr>
    </w:p>
    <w:p w14:paraId="6D733701">
      <w:pPr>
        <w:rPr>
          <w:color w:val="auto"/>
          <w:highlight w:val="none"/>
        </w:rPr>
      </w:pPr>
    </w:p>
    <w:p w14:paraId="66729BC6">
      <w:pPr>
        <w:spacing w:line="360" w:lineRule="auto"/>
        <w:jc w:val="center"/>
        <w:outlineLvl w:val="0"/>
        <w:rPr>
          <w:rFonts w:hint="eastAsia" w:ascii="黑体" w:hAnsi="黑体" w:eastAsia="黑体"/>
          <w:color w:val="auto"/>
          <w:sz w:val="28"/>
          <w:highlight w:val="none"/>
        </w:rPr>
      </w:pPr>
    </w:p>
    <w:p w14:paraId="41C4EF26">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br w:type="page"/>
      </w:r>
      <w:r>
        <w:rPr>
          <w:rFonts w:hint="eastAsia" w:ascii="黑体" w:hAnsi="黑体" w:eastAsia="黑体"/>
          <w:color w:val="auto"/>
          <w:sz w:val="28"/>
          <w:highlight w:val="none"/>
        </w:rPr>
        <w:t>第六章 附件（投标文件格式）</w:t>
      </w:r>
      <w:bookmarkEnd w:id="78"/>
      <w:bookmarkEnd w:id="79"/>
    </w:p>
    <w:p w14:paraId="66E06567">
      <w:pPr>
        <w:rPr>
          <w:rFonts w:hint="eastAsia"/>
          <w:color w:val="auto"/>
          <w:highlight w:val="none"/>
        </w:rPr>
      </w:pPr>
    </w:p>
    <w:p w14:paraId="6930C575">
      <w:pPr>
        <w:rPr>
          <w:rFonts w:hint="eastAsia"/>
          <w:color w:val="auto"/>
          <w:highlight w:val="none"/>
        </w:rPr>
      </w:pPr>
    </w:p>
    <w:p w14:paraId="65AA4DA1">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68600F01">
      <w:pPr>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YXGYJT202509031</w:t>
      </w:r>
    </w:p>
    <w:p w14:paraId="11C66392">
      <w:pPr>
        <w:jc w:val="center"/>
        <w:rPr>
          <w:rFonts w:hint="eastAsia" w:ascii="宋体" w:hAnsi="宋体"/>
          <w:b/>
          <w:color w:val="auto"/>
          <w:sz w:val="32"/>
          <w:szCs w:val="32"/>
          <w:highlight w:val="none"/>
        </w:rPr>
      </w:pPr>
    </w:p>
    <w:p w14:paraId="7507BFA1">
      <w:pPr>
        <w:rPr>
          <w:rFonts w:hint="eastAsia" w:ascii="宋体" w:hAnsi="宋体"/>
          <w:b/>
          <w:color w:val="auto"/>
          <w:sz w:val="32"/>
          <w:szCs w:val="32"/>
          <w:highlight w:val="none"/>
        </w:rPr>
      </w:pPr>
    </w:p>
    <w:p w14:paraId="174DA066">
      <w:pPr>
        <w:rPr>
          <w:rFonts w:hint="eastAsia" w:ascii="宋体" w:hAnsi="宋体"/>
          <w:b/>
          <w:color w:val="auto"/>
          <w:sz w:val="32"/>
          <w:szCs w:val="32"/>
          <w:highlight w:val="none"/>
        </w:rPr>
      </w:pPr>
    </w:p>
    <w:p w14:paraId="3B5D4D69">
      <w:pPr>
        <w:rPr>
          <w:rFonts w:hint="eastAsia" w:ascii="宋体" w:hAnsi="宋体" w:eastAsia="宋体" w:cs="Times New Roman"/>
          <w:color w:val="auto"/>
          <w:sz w:val="32"/>
          <w:highlight w:val="none"/>
          <w:u w:val="single"/>
          <w:lang w:eastAsia="zh-CN"/>
        </w:rPr>
      </w:pPr>
      <w:r>
        <w:rPr>
          <w:rFonts w:hint="eastAsia" w:ascii="宋体" w:hAnsi="宋体"/>
          <w:b/>
          <w:color w:val="auto"/>
          <w:sz w:val="32"/>
          <w:szCs w:val="32"/>
          <w:highlight w:val="none"/>
        </w:rPr>
        <w:t>项目名称：</w:t>
      </w:r>
      <w:r>
        <w:rPr>
          <w:rFonts w:hint="eastAsia" w:ascii="宋体" w:hAnsi="宋体"/>
          <w:color w:val="auto"/>
          <w:sz w:val="32"/>
          <w:highlight w:val="none"/>
          <w:u w:val="single"/>
          <w:lang w:eastAsia="zh-CN"/>
        </w:rPr>
        <w:t>宜兴市离岸水域深井控藻工程不可避让论证服务项目</w:t>
      </w:r>
    </w:p>
    <w:p w14:paraId="661B1B55">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14:paraId="50EA95E4">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7A3F3ABC">
      <w:pPr>
        <w:rPr>
          <w:rFonts w:hint="eastAsia" w:ascii="楷体_GB2312" w:eastAsia="楷体_GB2312"/>
          <w:b/>
          <w:color w:val="auto"/>
          <w:sz w:val="32"/>
          <w:szCs w:val="32"/>
          <w:highlight w:val="none"/>
        </w:rPr>
      </w:pPr>
    </w:p>
    <w:p w14:paraId="41674010">
      <w:pPr>
        <w:rPr>
          <w:rFonts w:hint="eastAsia" w:ascii="楷体_GB2312" w:eastAsia="楷体_GB2312"/>
          <w:b/>
          <w:color w:val="auto"/>
          <w:sz w:val="32"/>
          <w:szCs w:val="32"/>
          <w:highlight w:val="none"/>
        </w:rPr>
      </w:pPr>
    </w:p>
    <w:p w14:paraId="789341A0">
      <w:pPr>
        <w:rPr>
          <w:rFonts w:hint="eastAsia" w:ascii="楷体_GB2312" w:eastAsia="楷体_GB2312"/>
          <w:b/>
          <w:color w:val="auto"/>
          <w:sz w:val="32"/>
          <w:szCs w:val="32"/>
          <w:highlight w:val="none"/>
        </w:rPr>
      </w:pPr>
    </w:p>
    <w:p w14:paraId="23EA5566">
      <w:pPr>
        <w:rPr>
          <w:rFonts w:hint="eastAsia" w:ascii="楷体_GB2312" w:eastAsia="楷体_GB2312"/>
          <w:b/>
          <w:color w:val="auto"/>
          <w:sz w:val="32"/>
          <w:szCs w:val="32"/>
          <w:highlight w:val="none"/>
        </w:rPr>
      </w:pPr>
    </w:p>
    <w:p w14:paraId="26EBFD4F">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7A61E0D3">
      <w:pPr>
        <w:rPr>
          <w:rFonts w:ascii="宋体"/>
          <w:b/>
          <w:bCs/>
          <w:color w:val="auto"/>
          <w:sz w:val="24"/>
          <w:szCs w:val="24"/>
          <w:highlight w:val="none"/>
        </w:rPr>
      </w:pPr>
      <w:bookmarkStart w:id="81"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15D1ED07">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B8645E6">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致江苏宜公投蓝藻资源开发有限公司、</w:t>
      </w:r>
      <w:r>
        <w:rPr>
          <w:rFonts w:hint="eastAsia" w:ascii="宋体" w:hAnsi="宋体"/>
          <w:bCs/>
          <w:color w:val="auto"/>
          <w:sz w:val="24"/>
          <w:szCs w:val="24"/>
          <w:highlight w:val="none"/>
        </w:rPr>
        <w:t>江苏鸿成工程项目管理有限公司</w:t>
      </w:r>
      <w:r>
        <w:rPr>
          <w:rFonts w:hint="eastAsia" w:ascii="宋体" w:hAnsi="宋体"/>
          <w:bCs/>
          <w:color w:val="auto"/>
          <w:sz w:val="24"/>
          <w:highlight w:val="none"/>
          <w:lang w:val="zh-CN"/>
        </w:rPr>
        <w:t>：</w:t>
      </w:r>
    </w:p>
    <w:p w14:paraId="0546571E">
      <w:pPr>
        <w:spacing w:line="360" w:lineRule="auto"/>
        <w:ind w:firstLine="480" w:firstLineChars="200"/>
        <w:rPr>
          <w:rFonts w:hint="eastAsia" w:ascii="宋体" w:hAnsi="宋体"/>
          <w:bCs/>
          <w:color w:val="auto"/>
          <w:sz w:val="24"/>
          <w:highlight w:val="none"/>
          <w:lang w:val="zh-CN"/>
        </w:rPr>
      </w:pPr>
      <w:r>
        <w:rPr>
          <w:rFonts w:hint="eastAsia" w:ascii="宋体" w:hAnsi="宋体" w:eastAsia="宋体" w:cs="Times New Roman"/>
          <w:bCs/>
          <w:color w:val="auto"/>
          <w:sz w:val="24"/>
          <w:highlight w:val="none"/>
          <w:lang w:val="zh-CN"/>
        </w:rPr>
        <w:t>我方收到你们江苏宜公投蓝藻资源开发有限公司</w:t>
      </w:r>
      <w:r>
        <w:rPr>
          <w:rFonts w:hint="eastAsia" w:ascii="宋体" w:hAnsi="宋体" w:cs="Times New Roman"/>
          <w:bCs/>
          <w:color w:val="auto"/>
          <w:sz w:val="24"/>
          <w:highlight w:val="none"/>
          <w:lang w:val="zh-CN"/>
        </w:rPr>
        <w:t>宜兴市离岸水域深井控藻工程不可避让论证服务项目</w:t>
      </w:r>
      <w:r>
        <w:rPr>
          <w:rFonts w:hint="eastAsia" w:ascii="宋体" w:hAnsi="宋体" w:eastAsia="宋体" w:cs="Times New Roman"/>
          <w:bCs/>
          <w:color w:val="auto"/>
          <w:sz w:val="24"/>
          <w:highlight w:val="none"/>
          <w:lang w:val="zh-CN"/>
        </w:rPr>
        <w:t>招标</w:t>
      </w:r>
      <w:r>
        <w:rPr>
          <w:rFonts w:hint="eastAsia" w:ascii="宋体" w:hAnsi="宋体"/>
          <w:bCs/>
          <w:color w:val="auto"/>
          <w:sz w:val="24"/>
          <w:highlight w:val="none"/>
          <w:lang w:val="zh-CN"/>
        </w:rPr>
        <w:t>文件，经仔细阅读和研究，我方决定参加投标。</w:t>
      </w:r>
    </w:p>
    <w:p w14:paraId="6255EB47">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231492D8">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14:paraId="76CCB045">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76B907E4">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14:paraId="0925347C">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650AA2E5">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101D408B">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1B1A819C">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3630C9C5">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如有违反，无条件接受相关管理部门的处罚。</w:t>
      </w:r>
    </w:p>
    <w:p w14:paraId="242C1014">
      <w:pPr>
        <w:numPr>
          <w:ilvl w:val="0"/>
          <w:numId w:val="5"/>
        </w:numPr>
        <w:spacing w:line="360" w:lineRule="auto"/>
        <w:ind w:firstLine="480" w:firstLineChars="200"/>
        <w:rPr>
          <w:rFonts w:hint="eastAsia" w:ascii="宋体" w:hAnsi="宋体"/>
          <w:bCs/>
          <w:color w:val="auto"/>
          <w:sz w:val="24"/>
          <w:highlight w:val="none"/>
          <w:lang w:val="zh-CN"/>
        </w:rPr>
      </w:pPr>
      <w:bookmarkStart w:id="82" w:name="OLE_LINK231"/>
      <w:bookmarkStart w:id="83" w:name="OLE_LINK281"/>
      <w:r>
        <w:rPr>
          <w:rFonts w:hint="eastAsia" w:ascii="宋体" w:hAnsi="宋体"/>
          <w:bCs/>
          <w:color w:val="auto"/>
          <w:sz w:val="24"/>
          <w:highlight w:val="none"/>
          <w:lang w:val="zh-CN"/>
        </w:rPr>
        <w:t>我方不是为本项目提供整体设计、规范编制或者项目管理、监理、检测等服务的供应商。</w:t>
      </w:r>
      <w:bookmarkEnd w:id="82"/>
    </w:p>
    <w:p w14:paraId="069CE64D">
      <w:pPr>
        <w:numPr>
          <w:ilvl w:val="0"/>
          <w:numId w:val="5"/>
        </w:numPr>
        <w:spacing w:line="360" w:lineRule="auto"/>
        <w:ind w:firstLine="480" w:firstLineChars="200"/>
        <w:rPr>
          <w:rFonts w:hint="eastAsia" w:ascii="宋体" w:hAnsi="宋体"/>
          <w:bCs/>
          <w:color w:val="auto"/>
          <w:sz w:val="24"/>
          <w:highlight w:val="none"/>
          <w:lang w:val="zh-CN"/>
        </w:rPr>
      </w:pPr>
      <w:bookmarkStart w:id="84" w:name="OLE_LINK233"/>
      <w:r>
        <w:rPr>
          <w:rFonts w:hint="eastAsia" w:ascii="宋体" w:hAnsi="宋体"/>
          <w:bCs/>
          <w:color w:val="auto"/>
          <w:sz w:val="24"/>
          <w:highlight w:val="none"/>
          <w:lang w:val="zh-CN"/>
        </w:rPr>
        <w:t>关联单位情况说明：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7DEC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060BD357">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070371F3">
            <w:pPr>
              <w:spacing w:line="360" w:lineRule="auto"/>
              <w:rPr>
                <w:rFonts w:hint="eastAsia" w:ascii="宋体" w:hAnsi="宋体"/>
                <w:bCs/>
                <w:color w:val="auto"/>
                <w:sz w:val="24"/>
                <w:highlight w:val="none"/>
                <w:lang w:val="zh-CN"/>
              </w:rPr>
            </w:pPr>
          </w:p>
        </w:tc>
      </w:tr>
      <w:tr w14:paraId="0CD1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11FBBA50">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3BDA6897">
            <w:pPr>
              <w:spacing w:line="360" w:lineRule="auto"/>
              <w:rPr>
                <w:rFonts w:hint="eastAsia" w:ascii="宋体" w:hAnsi="宋体"/>
                <w:bCs/>
                <w:color w:val="auto"/>
                <w:sz w:val="24"/>
                <w:highlight w:val="none"/>
                <w:lang w:val="zh-CN"/>
              </w:rPr>
            </w:pPr>
          </w:p>
        </w:tc>
      </w:tr>
    </w:tbl>
    <w:p w14:paraId="2BD2325F">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479A0680">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与本投标有关的一切正式往来函电，请联系：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675"/>
      </w:tblGrid>
      <w:tr w14:paraId="30D3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593692C1">
            <w:pPr>
              <w:spacing w:line="360" w:lineRule="auto"/>
              <w:jc w:val="center"/>
              <w:rPr>
                <w:rFonts w:ascii="宋体" w:hAnsi="宋体"/>
                <w:bCs/>
                <w:color w:val="auto"/>
                <w:sz w:val="24"/>
                <w:highlight w:val="none"/>
                <w:lang w:val="zh-CN"/>
              </w:rPr>
            </w:pPr>
            <w:bookmarkStart w:id="85" w:name="OLE_LINK249"/>
            <w:r>
              <w:rPr>
                <w:rFonts w:hint="eastAsia" w:ascii="宋体" w:hAnsi="宋体"/>
                <w:bCs/>
                <w:color w:val="auto"/>
                <w:sz w:val="24"/>
                <w:highlight w:val="none"/>
                <w:lang w:val="zh-CN"/>
              </w:rPr>
              <w:t>地址</w:t>
            </w:r>
          </w:p>
        </w:tc>
        <w:tc>
          <w:tcPr>
            <w:tcW w:w="2928" w:type="dxa"/>
            <w:noWrap w:val="0"/>
            <w:vAlign w:val="center"/>
          </w:tcPr>
          <w:p w14:paraId="515FE1BE">
            <w:pPr>
              <w:spacing w:line="360" w:lineRule="auto"/>
              <w:jc w:val="center"/>
              <w:rPr>
                <w:rFonts w:hint="eastAsia" w:ascii="宋体" w:hAnsi="宋体"/>
                <w:bCs/>
                <w:color w:val="auto"/>
                <w:sz w:val="24"/>
                <w:highlight w:val="none"/>
                <w:lang w:val="zh-CN"/>
              </w:rPr>
            </w:pPr>
          </w:p>
        </w:tc>
        <w:tc>
          <w:tcPr>
            <w:tcW w:w="1252" w:type="dxa"/>
            <w:noWrap w:val="0"/>
            <w:vAlign w:val="center"/>
          </w:tcPr>
          <w:p w14:paraId="4BD4F52D">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1EA94AAD">
            <w:pPr>
              <w:spacing w:line="360" w:lineRule="auto"/>
              <w:jc w:val="center"/>
              <w:rPr>
                <w:rFonts w:hint="eastAsia" w:ascii="宋体" w:hAnsi="宋体"/>
                <w:bCs/>
                <w:color w:val="auto"/>
                <w:sz w:val="24"/>
                <w:highlight w:val="none"/>
                <w:lang w:val="zh-CN"/>
              </w:rPr>
            </w:pPr>
          </w:p>
        </w:tc>
      </w:tr>
      <w:tr w14:paraId="2CF1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D03183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2928" w:type="dxa"/>
            <w:noWrap w:val="0"/>
            <w:vAlign w:val="center"/>
          </w:tcPr>
          <w:p w14:paraId="15D7E825">
            <w:pPr>
              <w:spacing w:line="360" w:lineRule="auto"/>
              <w:jc w:val="center"/>
              <w:rPr>
                <w:rFonts w:hint="eastAsia" w:ascii="宋体" w:hAnsi="宋体"/>
                <w:bCs/>
                <w:color w:val="auto"/>
                <w:sz w:val="24"/>
                <w:highlight w:val="none"/>
                <w:lang w:val="zh-CN"/>
              </w:rPr>
            </w:pPr>
          </w:p>
        </w:tc>
        <w:tc>
          <w:tcPr>
            <w:tcW w:w="1252" w:type="dxa"/>
            <w:noWrap w:val="0"/>
            <w:vAlign w:val="center"/>
          </w:tcPr>
          <w:p w14:paraId="48A89B2B">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02D9D63E">
            <w:pPr>
              <w:spacing w:line="360" w:lineRule="auto"/>
              <w:jc w:val="center"/>
              <w:rPr>
                <w:rFonts w:hint="eastAsia" w:ascii="宋体" w:hAnsi="宋体"/>
                <w:bCs/>
                <w:color w:val="auto"/>
                <w:sz w:val="24"/>
                <w:highlight w:val="none"/>
                <w:lang w:val="zh-CN"/>
              </w:rPr>
            </w:pPr>
          </w:p>
        </w:tc>
      </w:tr>
      <w:tr w14:paraId="2B2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5585F55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法定代表人</w:t>
            </w:r>
          </w:p>
        </w:tc>
        <w:tc>
          <w:tcPr>
            <w:tcW w:w="2928" w:type="dxa"/>
            <w:noWrap w:val="0"/>
            <w:vAlign w:val="center"/>
          </w:tcPr>
          <w:p w14:paraId="762B53FB">
            <w:pPr>
              <w:spacing w:line="360" w:lineRule="auto"/>
              <w:jc w:val="center"/>
              <w:rPr>
                <w:rFonts w:hint="eastAsia" w:ascii="宋体" w:hAnsi="宋体"/>
                <w:bCs/>
                <w:color w:val="auto"/>
                <w:sz w:val="24"/>
                <w:highlight w:val="none"/>
                <w:lang w:val="zh-CN"/>
              </w:rPr>
            </w:pPr>
          </w:p>
        </w:tc>
        <w:tc>
          <w:tcPr>
            <w:tcW w:w="1252" w:type="dxa"/>
            <w:noWrap w:val="0"/>
            <w:vAlign w:val="center"/>
          </w:tcPr>
          <w:p w14:paraId="459F63C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5525B643">
            <w:pPr>
              <w:spacing w:line="360" w:lineRule="auto"/>
              <w:jc w:val="center"/>
              <w:rPr>
                <w:rFonts w:hint="eastAsia" w:ascii="宋体" w:hAnsi="宋体"/>
                <w:bCs/>
                <w:color w:val="auto"/>
                <w:sz w:val="24"/>
                <w:highlight w:val="none"/>
                <w:lang w:val="zh-CN"/>
              </w:rPr>
            </w:pPr>
          </w:p>
        </w:tc>
      </w:tr>
      <w:tr w14:paraId="7C46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61C0DB5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2928" w:type="dxa"/>
            <w:noWrap w:val="0"/>
            <w:vAlign w:val="center"/>
          </w:tcPr>
          <w:p w14:paraId="54DD96D4">
            <w:pPr>
              <w:spacing w:line="360" w:lineRule="auto"/>
              <w:jc w:val="center"/>
              <w:rPr>
                <w:rFonts w:hint="eastAsia" w:ascii="宋体" w:hAnsi="宋体"/>
                <w:bCs/>
                <w:color w:val="auto"/>
                <w:sz w:val="24"/>
                <w:highlight w:val="none"/>
                <w:lang w:val="zh-CN"/>
              </w:rPr>
            </w:pPr>
          </w:p>
        </w:tc>
        <w:tc>
          <w:tcPr>
            <w:tcW w:w="1252" w:type="dxa"/>
            <w:noWrap w:val="0"/>
            <w:vAlign w:val="center"/>
          </w:tcPr>
          <w:p w14:paraId="497AF08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58C969AA">
            <w:pPr>
              <w:spacing w:line="360" w:lineRule="auto"/>
              <w:jc w:val="center"/>
              <w:rPr>
                <w:rFonts w:hint="eastAsia" w:ascii="宋体" w:hAnsi="宋体"/>
                <w:bCs/>
                <w:color w:val="auto"/>
                <w:sz w:val="24"/>
                <w:highlight w:val="none"/>
                <w:lang w:val="zh-CN"/>
              </w:rPr>
            </w:pPr>
          </w:p>
        </w:tc>
      </w:tr>
      <w:tr w14:paraId="48FD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2B14EFFB">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7855" w:type="dxa"/>
            <w:gridSpan w:val="3"/>
            <w:noWrap w:val="0"/>
            <w:vAlign w:val="center"/>
          </w:tcPr>
          <w:p w14:paraId="5EF22282">
            <w:pPr>
              <w:spacing w:line="360" w:lineRule="auto"/>
              <w:jc w:val="center"/>
              <w:rPr>
                <w:rFonts w:hint="eastAsia" w:ascii="宋体" w:hAnsi="宋体"/>
                <w:bCs/>
                <w:color w:val="auto"/>
                <w:sz w:val="24"/>
                <w:highlight w:val="none"/>
                <w:lang w:val="zh-CN"/>
              </w:rPr>
            </w:pPr>
          </w:p>
        </w:tc>
      </w:tr>
      <w:tr w14:paraId="4AC9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2C24E03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2928" w:type="dxa"/>
            <w:noWrap w:val="0"/>
            <w:vAlign w:val="center"/>
          </w:tcPr>
          <w:p w14:paraId="40A9DA9E">
            <w:pPr>
              <w:spacing w:line="360" w:lineRule="auto"/>
              <w:jc w:val="center"/>
              <w:rPr>
                <w:rFonts w:hint="eastAsia" w:ascii="宋体" w:hAnsi="宋体"/>
                <w:bCs/>
                <w:color w:val="auto"/>
                <w:sz w:val="24"/>
                <w:highlight w:val="none"/>
                <w:lang w:val="zh-CN"/>
              </w:rPr>
            </w:pPr>
          </w:p>
        </w:tc>
        <w:tc>
          <w:tcPr>
            <w:tcW w:w="1252" w:type="dxa"/>
            <w:noWrap w:val="0"/>
            <w:vAlign w:val="center"/>
          </w:tcPr>
          <w:p w14:paraId="7167523D">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73B9AD8A">
            <w:pPr>
              <w:spacing w:line="360" w:lineRule="auto"/>
              <w:jc w:val="center"/>
              <w:rPr>
                <w:rFonts w:hint="eastAsia" w:ascii="宋体" w:hAnsi="宋体"/>
                <w:bCs/>
                <w:color w:val="auto"/>
                <w:sz w:val="24"/>
                <w:highlight w:val="none"/>
                <w:lang w:val="zh-CN"/>
              </w:rPr>
            </w:pPr>
          </w:p>
        </w:tc>
      </w:tr>
      <w:bookmarkEnd w:id="83"/>
      <w:bookmarkEnd w:id="84"/>
      <w:bookmarkEnd w:id="85"/>
    </w:tbl>
    <w:p w14:paraId="78F581D8">
      <w:pPr>
        <w:ind w:firstLine="480" w:firstLineChars="200"/>
        <w:rPr>
          <w:rFonts w:hint="eastAsia" w:ascii="黑体" w:hAnsi="宋体" w:eastAsia="黑体"/>
          <w:bCs/>
          <w:color w:val="auto"/>
          <w:sz w:val="24"/>
          <w:szCs w:val="24"/>
          <w:highlight w:val="none"/>
        </w:rPr>
      </w:pPr>
    </w:p>
    <w:p w14:paraId="2E2A8F01">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643B99A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52CEA2A3">
      <w:pPr>
        <w:ind w:firstLine="480" w:firstLineChars="200"/>
        <w:rPr>
          <w:rFonts w:hint="eastAsia" w:ascii="黑体" w:hAnsi="宋体" w:eastAsia="黑体"/>
          <w:bCs/>
          <w:color w:val="auto"/>
          <w:sz w:val="24"/>
          <w:szCs w:val="24"/>
          <w:highlight w:val="none"/>
        </w:rPr>
      </w:pPr>
    </w:p>
    <w:bookmarkEnd w:id="81"/>
    <w:p w14:paraId="084CAE39">
      <w:pPr>
        <w:jc w:val="left"/>
        <w:rPr>
          <w:rFonts w:ascii="黑体" w:hAnsi="宋体" w:eastAsia="黑体"/>
          <w:bCs/>
          <w:color w:val="auto"/>
          <w:sz w:val="24"/>
          <w:szCs w:val="24"/>
          <w:highlight w:val="none"/>
        </w:rPr>
        <w:sectPr>
          <w:headerReference r:id="rId7" w:type="default"/>
          <w:footerReference r:id="rId8" w:type="default"/>
          <w:pgSz w:w="11906" w:h="16838"/>
          <w:pgMar w:top="1417" w:right="1701" w:bottom="1417" w:left="1701" w:header="851" w:footer="992" w:gutter="0"/>
          <w:cols w:space="720" w:num="1"/>
          <w:docGrid w:type="lines" w:linePitch="312" w:charSpace="0"/>
        </w:sectPr>
      </w:pPr>
      <w:bookmarkStart w:id="86" w:name="OLE_LINK146"/>
      <w:bookmarkStart w:id="87" w:name="_Toc4946"/>
    </w:p>
    <w:p w14:paraId="3C02B57B">
      <w:pPr>
        <w:jc w:val="left"/>
        <w:rPr>
          <w:rFonts w:hint="eastAsia" w:ascii="黑体" w:hAnsi="宋体" w:eastAsia="黑体"/>
          <w:bCs/>
          <w:color w:val="auto"/>
          <w:sz w:val="24"/>
          <w:szCs w:val="24"/>
          <w:highlight w:val="none"/>
        </w:rPr>
      </w:pPr>
      <w:r>
        <w:rPr>
          <w:rFonts w:hint="eastAsia" w:ascii="黑体" w:hAnsi="宋体" w:eastAsia="黑体"/>
          <w:bCs/>
          <w:color w:val="auto"/>
          <w:sz w:val="28"/>
          <w:szCs w:val="28"/>
          <w:highlight w:val="none"/>
        </w:rPr>
        <w:t>（二）报价文件：</w:t>
      </w:r>
      <w:bookmarkEnd w:id="86"/>
    </w:p>
    <w:p w14:paraId="31C4538D">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14:paraId="2955D765">
      <w:pPr>
        <w:spacing w:before="156" w:beforeLines="50" w:after="156" w:afterLines="50"/>
        <w:jc w:val="center"/>
        <w:rPr>
          <w:rFonts w:hint="eastAsia" w:ascii="黑体" w:hAnsi="黑体" w:eastAsia="黑体"/>
          <w:color w:val="auto"/>
          <w:sz w:val="28"/>
          <w:szCs w:val="28"/>
          <w:highlight w:val="none"/>
        </w:rPr>
      </w:pPr>
      <w:bookmarkStart w:id="88" w:name="_Toc32423"/>
      <w:r>
        <w:rPr>
          <w:rFonts w:hint="eastAsia" w:ascii="黑体" w:eastAsia="黑体"/>
          <w:bCs/>
          <w:color w:val="auto"/>
          <w:sz w:val="28"/>
          <w:szCs w:val="28"/>
          <w:highlight w:val="none"/>
        </w:rPr>
        <w:t>开标一览表</w:t>
      </w:r>
      <w:bookmarkEnd w:id="88"/>
    </w:p>
    <w:p w14:paraId="365D4B25">
      <w:pPr>
        <w:jc w:val="center"/>
        <w:rPr>
          <w:rFonts w:hint="eastAsia" w:ascii="宋体" w:hAnsi="宋体"/>
          <w:color w:val="auto"/>
          <w:sz w:val="24"/>
          <w:szCs w:val="24"/>
          <w:highlight w:val="none"/>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YXGYJT202509031</w:t>
      </w:r>
      <w:r>
        <w:rPr>
          <w:rFonts w:hint="eastAsia" w:ascii="宋体" w:hAnsi="宋体"/>
          <w:color w:val="auto"/>
          <w:sz w:val="24"/>
          <w:szCs w:val="24"/>
          <w:highlight w:val="none"/>
        </w:rPr>
        <w:t xml:space="preserve"> </w:t>
      </w:r>
    </w:p>
    <w:bookmarkEnd w:id="87"/>
    <w:p w14:paraId="102F40A3">
      <w:pPr>
        <w:ind w:left="1"/>
        <w:jc w:val="center"/>
        <w:rPr>
          <w:rFonts w:ascii="宋体" w:hAnsi="宋体"/>
          <w:color w:val="auto"/>
          <w:sz w:val="24"/>
          <w:szCs w:val="24"/>
          <w:highlight w:val="none"/>
        </w:rPr>
      </w:pPr>
      <w:bookmarkStart w:id="89" w:name="OLE_LINK151"/>
      <w:r>
        <w:rPr>
          <w:rFonts w:hint="eastAsia" w:ascii="宋体" w:hAnsi="宋体"/>
          <w:color w:val="auto"/>
          <w:sz w:val="24"/>
          <w:szCs w:val="24"/>
          <w:highlight w:val="none"/>
        </w:rPr>
        <w:t>投标人（</w:t>
      </w:r>
      <w:r>
        <w:rPr>
          <w:rFonts w:hint="eastAsia" w:ascii="宋体" w:hAnsi="宋体"/>
          <w:color w:val="auto"/>
          <w:sz w:val="24"/>
          <w:szCs w:val="24"/>
          <w:highlight w:val="none"/>
          <w:lang w:val="zh-CN"/>
        </w:rPr>
        <w:t>签章</w:t>
      </w:r>
      <w:r>
        <w:rPr>
          <w:rFonts w:hint="eastAsia" w:ascii="宋体" w:hAnsi="宋体"/>
          <w:color w:val="auto"/>
          <w:sz w:val="24"/>
          <w:szCs w:val="24"/>
          <w:highlight w:val="none"/>
        </w:rPr>
        <w:t>）：                                         单位：元</w:t>
      </w:r>
    </w:p>
    <w:tbl>
      <w:tblPr>
        <w:tblStyle w:val="9"/>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61"/>
        <w:gridCol w:w="1701"/>
        <w:gridCol w:w="1265"/>
        <w:gridCol w:w="1144"/>
        <w:gridCol w:w="993"/>
        <w:gridCol w:w="1275"/>
      </w:tblGrid>
      <w:tr w14:paraId="216C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133FCC9">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2F059504">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40E337">
            <w:pPr>
              <w:jc w:val="center"/>
              <w:rPr>
                <w:rFonts w:ascii="宋体" w:hAnsi="宋体"/>
                <w:color w:val="auto"/>
                <w:sz w:val="24"/>
                <w:szCs w:val="28"/>
                <w:highlight w:val="none"/>
              </w:rPr>
            </w:pPr>
            <w:r>
              <w:rPr>
                <w:rFonts w:hint="eastAsia" w:ascii="宋体" w:hAnsi="宋体"/>
                <w:color w:val="auto"/>
                <w:sz w:val="24"/>
                <w:szCs w:val="28"/>
                <w:highlight w:val="none"/>
              </w:rPr>
              <w:t>数量</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668E451">
            <w:pPr>
              <w:jc w:val="center"/>
              <w:rPr>
                <w:rFonts w:ascii="宋体" w:hAnsi="宋体"/>
                <w:color w:val="auto"/>
                <w:sz w:val="24"/>
                <w:szCs w:val="28"/>
                <w:highlight w:val="none"/>
              </w:rPr>
            </w:pPr>
            <w:r>
              <w:rPr>
                <w:rFonts w:hint="eastAsia" w:ascii="宋体" w:hAnsi="宋体"/>
                <w:color w:val="auto"/>
                <w:sz w:val="24"/>
                <w:szCs w:val="28"/>
                <w:highlight w:val="none"/>
              </w:rPr>
              <w:t>投标含税单价</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38BDB491">
            <w:pPr>
              <w:jc w:val="center"/>
              <w:rPr>
                <w:rFonts w:ascii="宋体" w:hAnsi="宋体"/>
                <w:color w:val="auto"/>
                <w:sz w:val="24"/>
                <w:szCs w:val="28"/>
                <w:highlight w:val="none"/>
              </w:rPr>
            </w:pPr>
            <w:r>
              <w:rPr>
                <w:rFonts w:ascii="宋体" w:hAnsi="宋体"/>
                <w:color w:val="auto"/>
                <w:sz w:val="24"/>
                <w:szCs w:val="28"/>
                <w:highlight w:val="none"/>
              </w:rPr>
              <w:t>含税总价</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924B1C5">
            <w:pPr>
              <w:jc w:val="center"/>
              <w:rPr>
                <w:rFonts w:ascii="宋体" w:hAnsi="宋体"/>
                <w:color w:val="auto"/>
                <w:sz w:val="24"/>
                <w:szCs w:val="28"/>
                <w:highlight w:val="none"/>
              </w:rPr>
            </w:pPr>
            <w:r>
              <w:rPr>
                <w:rFonts w:ascii="宋体" w:hAnsi="宋体"/>
                <w:color w:val="auto"/>
                <w:sz w:val="24"/>
                <w:szCs w:val="28"/>
                <w:highlight w:val="none"/>
              </w:rPr>
              <w:t>不含税总价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6BFE65">
            <w:pPr>
              <w:jc w:val="center"/>
              <w:rPr>
                <w:rFonts w:ascii="宋体" w:hAnsi="宋体"/>
                <w:color w:val="auto"/>
                <w:sz w:val="24"/>
                <w:szCs w:val="28"/>
                <w:highlight w:val="none"/>
              </w:rPr>
            </w:pPr>
            <w:r>
              <w:rPr>
                <w:rFonts w:hint="eastAsia" w:ascii="宋体" w:hAnsi="宋体"/>
                <w:color w:val="auto"/>
                <w:sz w:val="24"/>
                <w:szCs w:val="28"/>
                <w:highlight w:val="none"/>
              </w:rPr>
              <w:t>增值税税额</w:t>
            </w:r>
          </w:p>
        </w:tc>
      </w:tr>
      <w:tr w14:paraId="1F63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86A9AC1">
            <w:pPr>
              <w:ind w:left="-111" w:leftChars="-53" w:firstLine="62" w:firstLineChars="26"/>
              <w:jc w:val="center"/>
              <w:rPr>
                <w:rFonts w:ascii="宋体" w:hAnsi="宋体"/>
                <w:color w:val="auto"/>
                <w:sz w:val="24"/>
                <w:szCs w:val="28"/>
                <w:highlight w:val="none"/>
              </w:rPr>
            </w:pPr>
            <w:r>
              <w:rPr>
                <w:rFonts w:hint="eastAsia" w:ascii="宋体" w:hAnsi="宋体"/>
                <w:color w:val="auto"/>
                <w:sz w:val="24"/>
                <w:szCs w:val="28"/>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67AB70E">
            <w:pPr>
              <w:jc w:val="center"/>
              <w:rPr>
                <w:rFonts w:hint="eastAsia" w:ascii="宋体" w:hAnsi="宋体" w:eastAsia="宋体" w:cs="Times New Roman"/>
                <w:color w:val="auto"/>
                <w:sz w:val="24"/>
                <w:szCs w:val="28"/>
                <w:highlight w:val="none"/>
                <w:lang w:eastAsia="zh-CN"/>
              </w:rPr>
            </w:pPr>
            <w:r>
              <w:rPr>
                <w:rFonts w:hint="eastAsia" w:ascii="宋体" w:hAnsi="宋体"/>
                <w:color w:val="auto"/>
                <w:sz w:val="24"/>
                <w:szCs w:val="21"/>
                <w:highlight w:val="none"/>
                <w:lang w:val="zh-CN"/>
              </w:rPr>
              <w:t>宜兴市离岸水域深井控藻工程不可避让论证服务项目</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F3D6C2F">
            <w:pPr>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1项</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B68788B">
            <w:pPr>
              <w:jc w:val="center"/>
              <w:rPr>
                <w:rFonts w:ascii="宋体" w:hAnsi="宋体"/>
                <w:color w:val="auto"/>
                <w:sz w:val="24"/>
                <w:szCs w:val="28"/>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E77DF57">
            <w:pPr>
              <w:jc w:val="center"/>
              <w:rPr>
                <w:rFonts w:ascii="宋体" w:hAnsi="宋体"/>
                <w:color w:val="auto"/>
                <w:sz w:val="24"/>
                <w:szCs w:val="2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346D3DC">
            <w:pPr>
              <w:jc w:val="center"/>
              <w:rPr>
                <w:rFonts w:ascii="宋体" w:hAnsi="宋体"/>
                <w:color w:val="auto"/>
                <w:sz w:val="24"/>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7DDA271">
            <w:pPr>
              <w:jc w:val="center"/>
              <w:rPr>
                <w:rFonts w:ascii="宋体" w:hAnsi="宋体"/>
                <w:color w:val="auto"/>
                <w:sz w:val="24"/>
                <w:szCs w:val="28"/>
                <w:highlight w:val="none"/>
              </w:rPr>
            </w:pPr>
          </w:p>
        </w:tc>
      </w:tr>
      <w:tr w14:paraId="1B12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EC66113">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6378" w:type="dxa"/>
            <w:gridSpan w:val="5"/>
            <w:tcBorders>
              <w:top w:val="single" w:color="auto" w:sz="4" w:space="0"/>
              <w:left w:val="single" w:color="auto" w:sz="4" w:space="0"/>
              <w:bottom w:val="single" w:color="auto" w:sz="4" w:space="0"/>
              <w:right w:val="single" w:color="auto" w:sz="4" w:space="0"/>
            </w:tcBorders>
            <w:noWrap w:val="0"/>
            <w:vAlign w:val="center"/>
          </w:tcPr>
          <w:p w14:paraId="635BA028">
            <w:pPr>
              <w:rPr>
                <w:rFonts w:ascii="宋体" w:hAnsi="宋体"/>
                <w:color w:val="auto"/>
                <w:sz w:val="24"/>
                <w:szCs w:val="28"/>
                <w:highlight w:val="none"/>
              </w:rPr>
            </w:pPr>
            <w:r>
              <w:rPr>
                <w:rFonts w:hint="eastAsia" w:ascii="宋体" w:hAnsi="宋体"/>
                <w:color w:val="auto"/>
                <w:sz w:val="24"/>
                <w:szCs w:val="28"/>
                <w:highlight w:val="none"/>
              </w:rPr>
              <w:t>（小写）</w:t>
            </w:r>
          </w:p>
        </w:tc>
      </w:tr>
      <w:tr w14:paraId="55E9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A29510">
            <w:pPr>
              <w:widowControl/>
              <w:jc w:val="left"/>
              <w:rPr>
                <w:rFonts w:ascii="宋体" w:hAnsi="宋体"/>
                <w:color w:val="auto"/>
                <w:sz w:val="24"/>
                <w:szCs w:val="28"/>
                <w:highlight w:val="none"/>
              </w:rPr>
            </w:pPr>
          </w:p>
        </w:tc>
        <w:tc>
          <w:tcPr>
            <w:tcW w:w="6378" w:type="dxa"/>
            <w:gridSpan w:val="5"/>
            <w:tcBorders>
              <w:top w:val="single" w:color="auto" w:sz="4" w:space="0"/>
              <w:left w:val="single" w:color="auto" w:sz="4" w:space="0"/>
              <w:bottom w:val="single" w:color="auto" w:sz="4" w:space="0"/>
              <w:right w:val="single" w:color="auto" w:sz="4" w:space="0"/>
            </w:tcBorders>
            <w:noWrap w:val="0"/>
            <w:vAlign w:val="center"/>
          </w:tcPr>
          <w:p w14:paraId="7D9A0735">
            <w:pPr>
              <w:rPr>
                <w:rFonts w:ascii="宋体" w:hAnsi="宋体"/>
                <w:color w:val="auto"/>
                <w:sz w:val="24"/>
                <w:szCs w:val="28"/>
                <w:highlight w:val="none"/>
              </w:rPr>
            </w:pPr>
            <w:r>
              <w:rPr>
                <w:rFonts w:hint="eastAsia" w:ascii="宋体" w:hAnsi="宋体"/>
                <w:color w:val="auto"/>
                <w:sz w:val="24"/>
                <w:szCs w:val="28"/>
                <w:highlight w:val="none"/>
              </w:rPr>
              <w:t>（大写）</w:t>
            </w:r>
          </w:p>
        </w:tc>
      </w:tr>
    </w:tbl>
    <w:p w14:paraId="030E3569">
      <w:pPr>
        <w:rPr>
          <w:rFonts w:hint="eastAsia" w:ascii="宋体" w:hAnsi="宋体"/>
          <w:color w:val="auto"/>
          <w:sz w:val="28"/>
          <w:szCs w:val="28"/>
          <w:highlight w:val="none"/>
        </w:rPr>
      </w:pPr>
    </w:p>
    <w:p w14:paraId="04EF4773">
      <w:pP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7465391">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14:paraId="794BF042">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52A26D04">
      <w:pPr>
        <w:numPr>
          <w:ilvl w:val="0"/>
          <w:numId w:val="6"/>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投标报价应包含完成本服务项目发生的所有含税费用、支付给员工的工资和国家强制缴纳的各种社会保障资金，以及投标人认为需要的其他费用等</w:t>
      </w:r>
      <w:r>
        <w:rPr>
          <w:rFonts w:hint="eastAsia" w:ascii="宋体" w:hAnsi="宋体"/>
          <w:color w:val="auto"/>
          <w:szCs w:val="21"/>
          <w:highlight w:val="none"/>
        </w:rPr>
        <w:t>；</w:t>
      </w:r>
    </w:p>
    <w:p w14:paraId="04CA8B06">
      <w:pPr>
        <w:numPr>
          <w:ilvl w:val="0"/>
          <w:numId w:val="6"/>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w:t>
      </w:r>
      <w:r>
        <w:rPr>
          <w:rFonts w:hint="eastAsia" w:ascii="宋体" w:hAnsi="宋体"/>
          <w:color w:val="auto"/>
          <w:szCs w:val="21"/>
          <w:highlight w:val="none"/>
        </w:rPr>
        <w:t>服务</w:t>
      </w:r>
      <w:r>
        <w:rPr>
          <w:rFonts w:hint="eastAsia" w:ascii="宋体" w:hAnsi="宋体"/>
          <w:color w:val="auto"/>
          <w:szCs w:val="21"/>
          <w:highlight w:val="none"/>
          <w:lang w:val="zh-CN"/>
        </w:rPr>
        <w:t>仅接受一个价格，投标文件应对《</w:t>
      </w:r>
      <w:bookmarkStart w:id="90" w:name="OLE_LINK15"/>
      <w:r>
        <w:rPr>
          <w:rFonts w:hint="eastAsia" w:ascii="宋体" w:hAnsi="宋体"/>
          <w:color w:val="auto"/>
          <w:szCs w:val="21"/>
          <w:highlight w:val="none"/>
          <w:lang w:val="zh-CN"/>
        </w:rPr>
        <w:t>开标一览表</w:t>
      </w:r>
      <w:bookmarkEnd w:id="90"/>
      <w:r>
        <w:rPr>
          <w:rFonts w:hint="eastAsia" w:ascii="宋体" w:hAnsi="宋体"/>
          <w:color w:val="auto"/>
          <w:szCs w:val="21"/>
          <w:highlight w:val="none"/>
          <w:lang w:val="zh-CN"/>
        </w:rPr>
        <w:t>》中的全部</w:t>
      </w:r>
      <w:r>
        <w:rPr>
          <w:rFonts w:hint="eastAsia" w:ascii="宋体" w:hAnsi="宋体"/>
          <w:color w:val="auto"/>
          <w:szCs w:val="21"/>
          <w:highlight w:val="none"/>
        </w:rPr>
        <w:t>服务</w:t>
      </w:r>
      <w:r>
        <w:rPr>
          <w:rFonts w:hint="eastAsia" w:ascii="宋体" w:hAnsi="宋体"/>
          <w:color w:val="auto"/>
          <w:szCs w:val="21"/>
          <w:highlight w:val="none"/>
          <w:lang w:val="zh-CN"/>
        </w:rPr>
        <w:t>进行投标，只投其中部分</w:t>
      </w:r>
      <w:r>
        <w:rPr>
          <w:rFonts w:hint="eastAsia" w:ascii="宋体" w:hAnsi="宋体"/>
          <w:color w:val="auto"/>
          <w:szCs w:val="21"/>
          <w:highlight w:val="none"/>
        </w:rPr>
        <w:t>服务</w:t>
      </w:r>
      <w:r>
        <w:rPr>
          <w:rFonts w:hint="eastAsia" w:ascii="宋体" w:hAnsi="宋体"/>
          <w:color w:val="auto"/>
          <w:szCs w:val="21"/>
          <w:highlight w:val="none"/>
          <w:lang w:val="zh-CN"/>
        </w:rPr>
        <w:t>者，投标无效。</w:t>
      </w:r>
    </w:p>
    <w:p w14:paraId="269A906E">
      <w:pPr>
        <w:pStyle w:val="4"/>
        <w:rPr>
          <w:rFonts w:hint="eastAsia" w:ascii="黑体" w:hAnsi="宋体" w:eastAsia="黑体"/>
          <w:bCs/>
          <w:color w:val="auto"/>
          <w:sz w:val="28"/>
          <w:szCs w:val="28"/>
          <w:highlight w:val="none"/>
        </w:rPr>
        <w:sectPr>
          <w:pgSz w:w="11906" w:h="16838"/>
          <w:pgMar w:top="1417" w:right="1701" w:bottom="1417" w:left="1701" w:header="851" w:footer="992" w:gutter="0"/>
          <w:cols w:space="720" w:num="1"/>
          <w:docGrid w:type="lines" w:linePitch="312" w:charSpace="0"/>
        </w:sectPr>
      </w:pPr>
    </w:p>
    <w:p w14:paraId="57546EBD">
      <w:pPr>
        <w:tabs>
          <w:tab w:val="left" w:pos="2470"/>
        </w:tabs>
        <w:spacing w:line="360" w:lineRule="auto"/>
        <w:jc w:val="both"/>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89"/>
    </w:p>
    <w:p w14:paraId="5EFF80E8">
      <w:pPr>
        <w:ind w:firstLine="480" w:firstLineChars="200"/>
        <w:rPr>
          <w:rFonts w:ascii="黑体" w:eastAsia="黑体"/>
          <w:bCs/>
          <w:color w:val="auto"/>
          <w:sz w:val="36"/>
          <w:highlight w:val="none"/>
        </w:rPr>
      </w:pPr>
      <w:bookmarkStart w:id="91" w:name="_Toc8000"/>
      <w:r>
        <w:rPr>
          <w:rFonts w:hint="eastAsia" w:ascii="黑体" w:hAnsi="宋体" w:eastAsia="黑体"/>
          <w:bCs/>
          <w:color w:val="auto"/>
          <w:sz w:val="24"/>
          <w:szCs w:val="24"/>
          <w:highlight w:val="none"/>
        </w:rPr>
        <w:t>1、关于资格的声明函（格式）：</w:t>
      </w:r>
    </w:p>
    <w:p w14:paraId="0E60D2EB">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14:paraId="64686E55">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14:paraId="48F168AB">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w:t>
      </w:r>
    </w:p>
    <w:p w14:paraId="02F99894">
      <w:pPr>
        <w:spacing w:line="480" w:lineRule="auto"/>
        <w:ind w:firstLine="480" w:firstLineChars="200"/>
        <w:rPr>
          <w:rFonts w:ascii="宋体" w:hAnsi="宋体"/>
          <w:bCs/>
          <w:color w:val="auto"/>
          <w:sz w:val="24"/>
          <w:szCs w:val="24"/>
          <w:highlight w:val="none"/>
        </w:rPr>
      </w:pPr>
      <w:r>
        <w:rPr>
          <w:rFonts w:hint="eastAsia" w:ascii="宋体"/>
          <w:bCs/>
          <w:color w:val="auto"/>
          <w:sz w:val="24"/>
          <w:szCs w:val="24"/>
          <w:highlight w:val="none"/>
        </w:rPr>
        <w:t>我公司参加贵单位</w:t>
      </w:r>
      <w:r>
        <w:rPr>
          <w:rFonts w:hint="eastAsia" w:ascii="宋体"/>
          <w:bCs/>
          <w:color w:val="auto"/>
          <w:sz w:val="24"/>
          <w:szCs w:val="24"/>
          <w:highlight w:val="none"/>
          <w:lang w:eastAsia="zh-CN"/>
        </w:rPr>
        <w:t>江苏宜公投蓝藻资源开发有限公司宜兴市离岸水域深井控藻工程不可避让论证服务项目</w:t>
      </w:r>
      <w:r>
        <w:rPr>
          <w:rFonts w:hint="eastAsia" w:ascii="宋体" w:hAnsi="Times New Roman" w:eastAsia="宋体" w:cs="Times New Roman"/>
          <w:bCs/>
          <w:color w:val="auto"/>
          <w:sz w:val="24"/>
          <w:szCs w:val="24"/>
          <w:highlight w:val="none"/>
          <w:lang w:eastAsia="zh-CN"/>
        </w:rPr>
        <w:t>（</w:t>
      </w:r>
      <w:r>
        <w:rPr>
          <w:rFonts w:hint="eastAsia" w:ascii="宋体" w:cs="Times New Roman"/>
          <w:bCs/>
          <w:color w:val="auto"/>
          <w:sz w:val="24"/>
          <w:szCs w:val="24"/>
          <w:highlight w:val="none"/>
          <w:lang w:eastAsia="zh-CN"/>
        </w:rPr>
        <w:t>YXGYJT202509031</w:t>
      </w:r>
      <w:r>
        <w:rPr>
          <w:rFonts w:hint="eastAsia" w:ascii="宋体"/>
          <w:bCs/>
          <w:color w:val="auto"/>
          <w:sz w:val="24"/>
          <w:szCs w:val="24"/>
          <w:highlight w:val="none"/>
        </w:rPr>
        <w:t>）采购活动前三年内在经营活动中没有重大违法记录；同时，投标时不存在</w:t>
      </w:r>
      <w:bookmarkStart w:id="92" w:name="OLE_LINK242"/>
      <w:r>
        <w:rPr>
          <w:rFonts w:hint="eastAsia" w:ascii="宋体"/>
          <w:bCs/>
          <w:color w:val="auto"/>
          <w:sz w:val="24"/>
          <w:szCs w:val="24"/>
          <w:highlight w:val="none"/>
        </w:rPr>
        <w:t>有效期限</w:t>
      </w:r>
      <w:bookmarkEnd w:id="92"/>
      <w:r>
        <w:rPr>
          <w:rFonts w:hint="eastAsia" w:asci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w:t>
      </w:r>
      <w:r>
        <w:rPr>
          <w:rFonts w:hint="eastAsia" w:ascii="宋体"/>
          <w:bCs/>
          <w:color w:val="auto"/>
          <w:sz w:val="24"/>
          <w:szCs w:val="24"/>
          <w:highlight w:val="none"/>
          <w:lang w:eastAsia="zh-CN"/>
        </w:rPr>
        <w:t>YXGYJT202509031</w:t>
      </w:r>
      <w:r>
        <w:rPr>
          <w:rFonts w:hint="eastAsia" w:ascii="宋体"/>
          <w:bCs/>
          <w:color w:val="auto"/>
          <w:sz w:val="24"/>
          <w:szCs w:val="24"/>
          <w:highlight w:val="none"/>
        </w:rPr>
        <w:t>）进行投标，</w:t>
      </w:r>
      <w:r>
        <w:rPr>
          <w:rFonts w:hint="eastAsia" w:ascii="宋体" w:hAnsi="宋体"/>
          <w:bCs/>
          <w:color w:val="auto"/>
          <w:sz w:val="24"/>
          <w:szCs w:val="24"/>
          <w:highlight w:val="none"/>
        </w:rPr>
        <w:t>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78F28E9A">
      <w:pPr>
        <w:spacing w:line="480" w:lineRule="auto"/>
        <w:ind w:firstLine="480" w:firstLineChars="200"/>
        <w:rPr>
          <w:rFonts w:ascii="宋体" w:hAnsi="宋体"/>
          <w:bCs/>
          <w:color w:val="auto"/>
          <w:sz w:val="24"/>
          <w:szCs w:val="24"/>
          <w:highlight w:val="none"/>
        </w:rPr>
      </w:pPr>
    </w:p>
    <w:p w14:paraId="55E73F20">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1E6AAD4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5887DEFA">
      <w:pPr>
        <w:spacing w:line="360" w:lineRule="auto"/>
        <w:jc w:val="center"/>
        <w:rPr>
          <w:rFonts w:hint="eastAsia" w:ascii="黑体" w:eastAsia="黑体"/>
          <w:bCs/>
          <w:color w:val="auto"/>
          <w:sz w:val="28"/>
          <w:szCs w:val="28"/>
          <w:highlight w:val="none"/>
        </w:rPr>
      </w:pPr>
    </w:p>
    <w:p w14:paraId="122F8A96">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2701925</wp:posOffset>
                </wp:positionH>
                <wp:positionV relativeFrom="paragraph">
                  <wp:posOffset>26035</wp:posOffset>
                </wp:positionV>
                <wp:extent cx="2633345" cy="1752600"/>
                <wp:effectExtent l="4445" t="4445" r="10160" b="14605"/>
                <wp:wrapNone/>
                <wp:docPr id="4" name="文本框 4"/>
                <wp:cNvGraphicFramePr/>
                <a:graphic xmlns:a="http://schemas.openxmlformats.org/drawingml/2006/main">
                  <a:graphicData uri="http://schemas.microsoft.com/office/word/2010/wordprocessingShape">
                    <wps:wsp>
                      <wps:cNvSpPr txBox="1"/>
                      <wps:spPr>
                        <a:xfrm>
                          <a:off x="0" y="0"/>
                          <a:ext cx="2633345" cy="1752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9CBA3F">
                            <w:pPr>
                              <w:jc w:val="left"/>
                              <w:rPr>
                                <w:rFonts w:hint="eastAsia" w:ascii="黑体" w:eastAsia="黑体"/>
                                <w:sz w:val="32"/>
                                <w:szCs w:val="32"/>
                              </w:rPr>
                            </w:pPr>
                          </w:p>
                          <w:p w14:paraId="3E658A3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D9124E">
                            <w:pPr>
                              <w:jc w:val="center"/>
                              <w:rPr>
                                <w:rFonts w:hint="eastAsia"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12.75pt;margin-top:2.05pt;height:138pt;width:207.35pt;z-index:251660288;mso-width-relative:page;mso-height-relative:page;" fillcolor="#FFFFFF" filled="t" stroked="t" coordsize="21600,21600" o:gfxdata="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QVw62AAAAAkBAAAPAAAAAAAAAAEAIAAA&#10;ACIAAABkcnMvZG93bnJldi54bWxQSwECFAAUAAAACACHTuJAzBXm6gwCAAA3BAAADgAAAAAAAAAB&#10;ACAAAAAnAQAAZHJzL2Uyb0RvYy54bWxQSwUGAAAAAAYABgBZAQAApQUAAAAA&#10;">
                <v:fill on="t" focussize="0,0"/>
                <v:stroke color="#000000" joinstyle="miter"/>
                <v:imagedata o:title=""/>
                <o:lock v:ext="edit" aspectratio="f"/>
                <v:textbox>
                  <w:txbxContent>
                    <w:p w14:paraId="749CBA3F">
                      <w:pPr>
                        <w:jc w:val="left"/>
                        <w:rPr>
                          <w:rFonts w:hint="eastAsia" w:ascii="黑体" w:eastAsia="黑体"/>
                          <w:sz w:val="32"/>
                          <w:szCs w:val="32"/>
                        </w:rPr>
                      </w:pPr>
                    </w:p>
                    <w:p w14:paraId="3E658A3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D9124E">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540635" cy="1753870"/>
                <wp:effectExtent l="4445" t="4445" r="7620" b="13335"/>
                <wp:wrapNone/>
                <wp:docPr id="3" name="文本框 3"/>
                <wp:cNvGraphicFramePr/>
                <a:graphic xmlns:a="http://schemas.openxmlformats.org/drawingml/2006/main">
                  <a:graphicData uri="http://schemas.microsoft.com/office/word/2010/wordprocessingShape">
                    <wps:wsp>
                      <wps:cNvSpPr txBox="1"/>
                      <wps:spPr>
                        <a:xfrm>
                          <a:off x="0" y="0"/>
                          <a:ext cx="2540635" cy="1753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000102">
                            <w:pPr>
                              <w:jc w:val="left"/>
                              <w:rPr>
                                <w:rFonts w:hint="eastAsia" w:ascii="黑体" w:eastAsia="黑体"/>
                                <w:sz w:val="32"/>
                                <w:szCs w:val="32"/>
                              </w:rPr>
                            </w:pPr>
                          </w:p>
                          <w:p w14:paraId="30768D1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4A955105">
                            <w:pPr>
                              <w:jc w:val="center"/>
                              <w:rPr>
                                <w:rFonts w:hint="eastAsia"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38.1pt;width:200.05pt;z-index:251659264;mso-width-relative:page;mso-height-relative:page;" fillcolor="#FFFFFF" filled="t" stroked="t" coordsize="21600,21600" o:gfxdata="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GHdPYAAAACAEAAA8AAAAAAAAAAQAg&#10;AAAAIgAAAGRycy9kb3ducmV2LnhtbFBLAQIUABQAAAAIAIdO4kBV9p+gDgIAADcEAAAOAAAAAAAA&#10;AAEAIAAAACcBAABkcnMvZTJvRG9jLnhtbFBLBQYAAAAABgAGAFkBAACnBQAAAAA=&#10;">
                <v:fill on="t" focussize="0,0"/>
                <v:stroke color="#000000" joinstyle="miter"/>
                <v:imagedata o:title=""/>
                <o:lock v:ext="edit" aspectratio="f"/>
                <v:textbox>
                  <w:txbxContent>
                    <w:p w14:paraId="0E000102">
                      <w:pPr>
                        <w:jc w:val="left"/>
                        <w:rPr>
                          <w:rFonts w:hint="eastAsia" w:ascii="黑体" w:eastAsia="黑体"/>
                          <w:sz w:val="32"/>
                          <w:szCs w:val="32"/>
                        </w:rPr>
                      </w:pPr>
                    </w:p>
                    <w:p w14:paraId="30768D1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4A955105">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58355338">
      <w:pPr>
        <w:spacing w:line="360" w:lineRule="auto"/>
        <w:rPr>
          <w:rFonts w:hint="eastAsia" w:ascii="黑体" w:eastAsia="黑体"/>
          <w:bCs/>
          <w:color w:val="auto"/>
          <w:sz w:val="28"/>
          <w:szCs w:val="28"/>
          <w:highlight w:val="none"/>
        </w:rPr>
      </w:pPr>
    </w:p>
    <w:p w14:paraId="1DF3F535">
      <w:pPr>
        <w:spacing w:line="360" w:lineRule="auto"/>
        <w:jc w:val="center"/>
        <w:rPr>
          <w:rFonts w:hint="eastAsia" w:ascii="黑体" w:eastAsia="黑体"/>
          <w:bCs/>
          <w:color w:val="auto"/>
          <w:sz w:val="28"/>
          <w:szCs w:val="28"/>
          <w:highlight w:val="none"/>
        </w:rPr>
      </w:pPr>
    </w:p>
    <w:p w14:paraId="6990E86E">
      <w:pPr>
        <w:spacing w:line="360" w:lineRule="auto"/>
        <w:jc w:val="center"/>
        <w:rPr>
          <w:rFonts w:hint="eastAsia" w:ascii="黑体" w:eastAsia="黑体"/>
          <w:bCs/>
          <w:color w:val="auto"/>
          <w:sz w:val="28"/>
          <w:szCs w:val="28"/>
          <w:highlight w:val="none"/>
        </w:rPr>
      </w:pPr>
    </w:p>
    <w:p w14:paraId="296119EC">
      <w:pPr>
        <w:spacing w:line="360" w:lineRule="auto"/>
        <w:jc w:val="center"/>
        <w:rPr>
          <w:rFonts w:hint="eastAsia" w:ascii="黑体" w:eastAsia="黑体"/>
          <w:bCs/>
          <w:color w:val="auto"/>
          <w:sz w:val="28"/>
          <w:szCs w:val="28"/>
          <w:highlight w:val="none"/>
        </w:rPr>
      </w:pPr>
    </w:p>
    <w:p w14:paraId="3B4A0476">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p w14:paraId="15AB2243">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14:paraId="5D8691ED">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14:paraId="3C70D914">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14:paraId="7CD55BD7">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65090FAF">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lang w:eastAsia="zh-CN"/>
        </w:rPr>
        <w:t>江苏宜公投蓝藻资源开发有限公司宜兴市离岸水域深井控藻工程不可避让论证服务项目</w:t>
      </w:r>
      <w:r>
        <w:rPr>
          <w:rFonts w:hint="eastAsia" w:ascii="宋体" w:hAnsi="宋体"/>
          <w:color w:val="auto"/>
          <w:sz w:val="24"/>
          <w:szCs w:val="21"/>
          <w:highlight w:val="none"/>
          <w:lang w:val="zh-CN"/>
        </w:rPr>
        <w:t>（YXGYJT202509031）的投标、参与开标、谈判、签约等具体工作，并签署全部有关的文件、协议及合同。</w:t>
      </w:r>
    </w:p>
    <w:p w14:paraId="2C651E3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2FDF6B0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3A9537C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459ABA5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367E9D3E">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6B8B505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7945251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2FACAB9B">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14:paraId="7AEFFBD9">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47A9065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307975</wp:posOffset>
                </wp:positionV>
                <wp:extent cx="2865755" cy="1794510"/>
                <wp:effectExtent l="4445" t="4445" r="10160" b="14605"/>
                <wp:wrapNone/>
                <wp:docPr id="5" name="文本框 5"/>
                <wp:cNvGraphicFramePr/>
                <a:graphic xmlns:a="http://schemas.openxmlformats.org/drawingml/2006/main">
                  <a:graphicData uri="http://schemas.microsoft.com/office/word/2010/wordprocessingShape">
                    <wps:wsp>
                      <wps:cNvSpPr txBox="1"/>
                      <wps:spPr>
                        <a:xfrm>
                          <a:off x="0" y="0"/>
                          <a:ext cx="2865755" cy="179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0FCF45">
                            <w:pPr>
                              <w:jc w:val="left"/>
                              <w:rPr>
                                <w:rFonts w:hint="eastAsia" w:ascii="黑体" w:eastAsia="黑体"/>
                                <w:sz w:val="32"/>
                                <w:szCs w:val="32"/>
                              </w:rPr>
                            </w:pPr>
                          </w:p>
                          <w:p w14:paraId="5B9AE53B">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110633C7">
                            <w:pPr>
                              <w:jc w:val="center"/>
                              <w:rPr>
                                <w:rFonts w:hint="eastAsia" w:ascii="楷体_GB2312" w:eastAsia="楷体_GB2312"/>
                                <w:sz w:val="28"/>
                                <w:szCs w:val="28"/>
                              </w:rPr>
                            </w:pPr>
                            <w:r>
                              <w:rPr>
                                <w:rFonts w:hint="eastAsia" w:ascii="楷体_GB2312" w:eastAsia="楷体_GB2312"/>
                                <w:sz w:val="28"/>
                                <w:szCs w:val="28"/>
                              </w:rPr>
                              <w:t>正面</w:t>
                            </w:r>
                          </w:p>
                          <w:p w14:paraId="0B97195C">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6.1pt;margin-top:24.25pt;height:141.3pt;width:225.65pt;z-index:251661312;mso-width-relative:page;mso-height-relative:page;" fillcolor="#FFFFFF" filled="t" stroked="t" coordsize="21600,21600" o:gfxdata="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8LyptoAAAAKAQAADwAAAAAAAAAB&#10;ACAAAAAiAAAAZHJzL2Rvd25yZXYueG1sUEsBAhQAFAAAAAgAh07iQJe1f38OAgAANwQAAA4AAAAA&#10;AAAAAQAgAAAAKQEAAGRycy9lMm9Eb2MueG1sUEsFBgAAAAAGAAYAWQEAAKkFAAAAAA==&#10;">
                <v:fill on="t" focussize="0,0"/>
                <v:stroke color="#000000" joinstyle="miter"/>
                <v:imagedata o:title=""/>
                <o:lock v:ext="edit" aspectratio="f"/>
                <v:textbox>
                  <w:txbxContent>
                    <w:p w14:paraId="3D0FCF45">
                      <w:pPr>
                        <w:jc w:val="left"/>
                        <w:rPr>
                          <w:rFonts w:hint="eastAsia" w:ascii="黑体" w:eastAsia="黑体"/>
                          <w:sz w:val="32"/>
                          <w:szCs w:val="32"/>
                        </w:rPr>
                      </w:pPr>
                    </w:p>
                    <w:p w14:paraId="5B9AE53B">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110633C7">
                      <w:pPr>
                        <w:jc w:val="center"/>
                        <w:rPr>
                          <w:rFonts w:hint="eastAsia" w:ascii="楷体_GB2312" w:eastAsia="楷体_GB2312"/>
                          <w:sz w:val="28"/>
                          <w:szCs w:val="28"/>
                        </w:rPr>
                      </w:pPr>
                      <w:r>
                        <w:rPr>
                          <w:rFonts w:hint="eastAsia" w:ascii="楷体_GB2312" w:eastAsia="楷体_GB2312"/>
                          <w:sz w:val="28"/>
                          <w:szCs w:val="28"/>
                        </w:rPr>
                        <w:t>正面</w:t>
                      </w:r>
                    </w:p>
                    <w:p w14:paraId="0B97195C">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3065780</wp:posOffset>
                </wp:positionH>
                <wp:positionV relativeFrom="paragraph">
                  <wp:posOffset>327025</wp:posOffset>
                </wp:positionV>
                <wp:extent cx="2836545" cy="1736725"/>
                <wp:effectExtent l="4445" t="4445" r="8890" b="11430"/>
                <wp:wrapNone/>
                <wp:docPr id="1" name="文本框 1"/>
                <wp:cNvGraphicFramePr/>
                <a:graphic xmlns:a="http://schemas.openxmlformats.org/drawingml/2006/main">
                  <a:graphicData uri="http://schemas.microsoft.com/office/word/2010/wordprocessingShape">
                    <wps:wsp>
                      <wps:cNvSpPr txBox="1"/>
                      <wps:spPr>
                        <a:xfrm>
                          <a:off x="0" y="0"/>
                          <a:ext cx="2836545" cy="1736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6E0BE7">
                            <w:pPr>
                              <w:jc w:val="left"/>
                              <w:rPr>
                                <w:rFonts w:hint="eastAsia" w:ascii="黑体" w:eastAsia="黑体"/>
                                <w:sz w:val="32"/>
                                <w:szCs w:val="32"/>
                              </w:rPr>
                            </w:pPr>
                          </w:p>
                          <w:p w14:paraId="52154F2E">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378746CB">
                            <w:pPr>
                              <w:jc w:val="center"/>
                              <w:rPr>
                                <w:rFonts w:hint="eastAsia" w:ascii="楷体_GB2312" w:eastAsia="楷体_GB2312"/>
                                <w:sz w:val="28"/>
                                <w:szCs w:val="28"/>
                              </w:rPr>
                            </w:pPr>
                            <w:r>
                              <w:rPr>
                                <w:rFonts w:hint="eastAsia" w:ascii="楷体_GB2312" w:eastAsia="楷体_GB2312"/>
                                <w:sz w:val="28"/>
                                <w:szCs w:val="28"/>
                              </w:rPr>
                              <w:t>反面</w:t>
                            </w:r>
                          </w:p>
                          <w:p w14:paraId="1BDE61DF">
                            <w:pP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1.4pt;margin-top:25.75pt;height:136.75pt;width:223.35pt;z-index:251662336;mso-width-relative:page;mso-height-relative:page;" fillcolor="#FFFFFF" filled="t" stroked="t" coordsize="21600,21600" o:gfxdata="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irs3toAAAAKAQAADwAAAAAAAAABACAA&#10;AAAiAAAAZHJzL2Rvd25yZXYueG1sUEsBAhQAFAAAAAgAh07iQOQbZYYLAgAANwQAAA4AAAAAAAAA&#10;AQAgAAAAKQEAAGRycy9lMm9Eb2MueG1sUEsFBgAAAAAGAAYAWQEAAKYFAAAAAA==&#10;">
                <v:fill on="t" focussize="0,0"/>
                <v:stroke color="#000000" joinstyle="miter"/>
                <v:imagedata o:title=""/>
                <o:lock v:ext="edit" aspectratio="f"/>
                <v:textbox>
                  <w:txbxContent>
                    <w:p w14:paraId="3C6E0BE7">
                      <w:pPr>
                        <w:jc w:val="left"/>
                        <w:rPr>
                          <w:rFonts w:hint="eastAsia" w:ascii="黑体" w:eastAsia="黑体"/>
                          <w:sz w:val="32"/>
                          <w:szCs w:val="32"/>
                        </w:rPr>
                      </w:pPr>
                    </w:p>
                    <w:p w14:paraId="52154F2E">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378746CB">
                      <w:pPr>
                        <w:jc w:val="center"/>
                        <w:rPr>
                          <w:rFonts w:hint="eastAsia" w:ascii="楷体_GB2312" w:eastAsia="楷体_GB2312"/>
                          <w:sz w:val="28"/>
                          <w:szCs w:val="28"/>
                        </w:rPr>
                      </w:pPr>
                      <w:r>
                        <w:rPr>
                          <w:rFonts w:hint="eastAsia" w:ascii="楷体_GB2312" w:eastAsia="楷体_GB2312"/>
                          <w:sz w:val="28"/>
                          <w:szCs w:val="28"/>
                        </w:rPr>
                        <w:t>反面</w:t>
                      </w:r>
                    </w:p>
                    <w:p w14:paraId="1BDE61DF">
                      <w:pPr>
                        <w:rPr>
                          <w:rFonts w:hint="eastAsia" w:ascii="楷体_GB2312" w:eastAsia="楷体_GB2312"/>
                          <w:sz w:val="28"/>
                          <w:szCs w:val="28"/>
                        </w:rPr>
                      </w:pPr>
                    </w:p>
                  </w:txbxContent>
                </v:textbox>
              </v:shape>
            </w:pict>
          </mc:Fallback>
        </mc:AlternateContent>
      </w:r>
    </w:p>
    <w:p w14:paraId="61531D0A">
      <w:pPr>
        <w:spacing w:line="360" w:lineRule="auto"/>
        <w:rPr>
          <w:rFonts w:hint="eastAsia" w:ascii="黑体" w:eastAsia="黑体"/>
          <w:bCs/>
          <w:color w:val="auto"/>
          <w:sz w:val="28"/>
          <w:szCs w:val="28"/>
          <w:highlight w:val="none"/>
        </w:rPr>
      </w:pPr>
    </w:p>
    <w:p w14:paraId="6312050F">
      <w:pPr>
        <w:spacing w:line="360" w:lineRule="auto"/>
        <w:rPr>
          <w:rFonts w:hint="eastAsia" w:ascii="黑体" w:eastAsia="黑体"/>
          <w:bCs/>
          <w:color w:val="auto"/>
          <w:sz w:val="28"/>
          <w:szCs w:val="28"/>
          <w:highlight w:val="none"/>
        </w:rPr>
      </w:pPr>
    </w:p>
    <w:p w14:paraId="3125F64E">
      <w:pPr>
        <w:spacing w:line="360" w:lineRule="auto"/>
        <w:jc w:val="center"/>
        <w:rPr>
          <w:rFonts w:hint="eastAsia" w:ascii="黑体" w:eastAsia="黑体"/>
          <w:bCs/>
          <w:color w:val="auto"/>
          <w:sz w:val="28"/>
          <w:szCs w:val="28"/>
          <w:highlight w:val="none"/>
        </w:rPr>
      </w:pPr>
    </w:p>
    <w:p w14:paraId="68A12D85">
      <w:pPr>
        <w:spacing w:before="156" w:beforeLines="50" w:after="156" w:afterLines="50" w:line="480" w:lineRule="auto"/>
        <w:rPr>
          <w:rFonts w:ascii="黑体" w:hAnsi="黑体" w:eastAsia="黑体"/>
          <w:bCs/>
          <w:color w:val="auto"/>
          <w:sz w:val="28"/>
          <w:szCs w:val="24"/>
          <w:highlight w:val="none"/>
        </w:rPr>
      </w:pPr>
    </w:p>
    <w:p w14:paraId="30F27D6E">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投标人为本项目被授权代表在近三个月内（不含投标当月）任意一个月缴纳的社保证明复印件（提供相关主管部门证明或银行代扣证明，法定代表人亲自参加报价的除外）；</w:t>
      </w:r>
    </w:p>
    <w:p w14:paraId="4D718A37">
      <w:pPr>
        <w:rPr>
          <w:rFonts w:hint="eastAsia" w:ascii="黑体" w:hAnsi="宋体" w:eastAsia="黑体" w:cs="Times New Roman"/>
          <w:bCs/>
          <w:color w:val="auto"/>
          <w:sz w:val="24"/>
          <w:szCs w:val="24"/>
          <w:highlight w:val="none"/>
        </w:rPr>
      </w:pPr>
      <w:r>
        <w:rPr>
          <w:rFonts w:hint="eastAsia" w:ascii="黑体" w:hAnsi="宋体" w:eastAsia="黑体" w:cs="Times New Roman"/>
          <w:bCs/>
          <w:color w:val="auto"/>
          <w:sz w:val="24"/>
          <w:szCs w:val="24"/>
          <w:highlight w:val="none"/>
        </w:rPr>
        <w:br w:type="page"/>
      </w:r>
    </w:p>
    <w:p w14:paraId="3EABA12B">
      <w:pPr>
        <w:rPr>
          <w:rFonts w:hint="eastAsia" w:ascii="黑体" w:hAnsi="宋体" w:eastAsia="黑体" w:cs="Times New Roman"/>
          <w:bCs/>
          <w:color w:val="auto"/>
          <w:sz w:val="24"/>
          <w:szCs w:val="24"/>
          <w:highlight w:val="none"/>
        </w:rPr>
      </w:pPr>
      <w:r>
        <w:rPr>
          <w:rFonts w:hint="eastAsia" w:ascii="黑体" w:hAnsi="宋体" w:eastAsia="黑体" w:cs="Times New Roman"/>
          <w:bCs/>
          <w:color w:val="auto"/>
          <w:sz w:val="24"/>
          <w:szCs w:val="24"/>
          <w:highlight w:val="none"/>
        </w:rPr>
        <w:t xml:space="preserve">3、资格性证明材料                                               </w:t>
      </w:r>
    </w:p>
    <w:p w14:paraId="2210971D">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①具有独立承担民事责任的能力：投标人为法人或其他组织的提供营业执照或法人（登记）证书复印件，投标人为自然人的提供自然人身份证复印件； （开标时提供原件或公证件）</w:t>
      </w:r>
    </w:p>
    <w:p w14:paraId="0F234AC6">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1546332C">
      <w:pPr>
        <w:tabs>
          <w:tab w:val="left" w:pos="0"/>
          <w:tab w:val="left" w:pos="2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③投标人依法缴纳近十二个月中任意一个月份税收的相关材料（提供相关主管部门证明或银行代扣证明）复印件；</w:t>
      </w:r>
    </w:p>
    <w:p w14:paraId="079C7A91">
      <w:pPr>
        <w:tabs>
          <w:tab w:val="left" w:pos="0"/>
          <w:tab w:val="left" w:pos="2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④投标人依法缴纳近十二个月中任意一个月份社会保障资金的相关材料（提供相关主管部门证明或银行代扣证明）复印件；</w:t>
      </w:r>
    </w:p>
    <w:p w14:paraId="72F8B170">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⑤投标人为本项目被授权代表在近三个月内（不含投标当月）任意一个月缴纳的社保证明复印件（提供相关主管部门证明或银行代扣证明，法定代表人亲自参加报价的除外）；</w:t>
      </w:r>
    </w:p>
    <w:p w14:paraId="26A4200F">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⑥投标保证金交纳证明复印件（银行转账记录）；</w:t>
      </w:r>
    </w:p>
    <w:p w14:paraId="69D53F50">
      <w:pPr>
        <w:tabs>
          <w:tab w:val="left" w:pos="0"/>
          <w:tab w:val="left" w:pos="255"/>
        </w:tabs>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⑦良好的信用记录：未被“信用中国”网站列入失信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执行人、重大税收违法案件当事人名单、政府采购严重违法失信名单，或未在“中国政府采购网”网站被列入政府采购严重违法失信行为记录名单；</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若投标人企业信息已录入以上网站的，</w:t>
      </w:r>
      <w:r>
        <w:rPr>
          <w:rFonts w:hint="eastAsia" w:ascii="宋体" w:hAnsi="宋体" w:cs="宋体"/>
          <w:b/>
          <w:bCs/>
          <w:color w:val="auto"/>
          <w:sz w:val="24"/>
          <w:szCs w:val="24"/>
          <w:highlight w:val="none"/>
        </w:rPr>
        <w:t>无需提供相关证明材料</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若投标人企业信息</w:t>
      </w:r>
      <w:r>
        <w:rPr>
          <w:rFonts w:ascii="宋体" w:hAnsi="宋体" w:cs="宋体"/>
          <w:b/>
          <w:bCs/>
          <w:color w:val="auto"/>
          <w:sz w:val="24"/>
          <w:szCs w:val="24"/>
          <w:highlight w:val="none"/>
        </w:rPr>
        <w:t>未</w:t>
      </w:r>
      <w:r>
        <w:rPr>
          <w:rFonts w:hint="eastAsia" w:ascii="宋体" w:hAnsi="宋体" w:cs="宋体"/>
          <w:b/>
          <w:bCs/>
          <w:color w:val="auto"/>
          <w:sz w:val="24"/>
          <w:szCs w:val="24"/>
          <w:highlight w:val="none"/>
        </w:rPr>
        <w:t>录入以上网站的，须在投标文件中提供</w:t>
      </w:r>
      <w:r>
        <w:rPr>
          <w:rFonts w:ascii="宋体" w:hAnsi="宋体" w:cs="宋体"/>
          <w:b/>
          <w:bCs/>
          <w:color w:val="auto"/>
          <w:sz w:val="24"/>
          <w:szCs w:val="24"/>
          <w:highlight w:val="none"/>
        </w:rPr>
        <w:t>无不良信用记录</w:t>
      </w:r>
      <w:r>
        <w:rPr>
          <w:rFonts w:hint="eastAsia" w:ascii="宋体" w:hAnsi="宋体" w:cs="宋体"/>
          <w:b/>
          <w:bCs/>
          <w:color w:val="auto"/>
          <w:sz w:val="24"/>
          <w:szCs w:val="24"/>
          <w:highlight w:val="none"/>
        </w:rPr>
        <w:t>承诺</w:t>
      </w:r>
      <w:r>
        <w:rPr>
          <w:rFonts w:ascii="宋体" w:hAnsi="宋体" w:cs="宋体"/>
          <w:b/>
          <w:bCs/>
          <w:color w:val="auto"/>
          <w:sz w:val="24"/>
          <w:szCs w:val="24"/>
          <w:highlight w:val="none"/>
        </w:rPr>
        <w:t>书</w:t>
      </w:r>
      <w:r>
        <w:rPr>
          <w:rFonts w:hint="eastAsia" w:ascii="宋体" w:hAnsi="宋体" w:cs="宋体"/>
          <w:b/>
          <w:bCs/>
          <w:color w:val="auto"/>
          <w:sz w:val="24"/>
          <w:szCs w:val="24"/>
          <w:highlight w:val="none"/>
        </w:rPr>
        <w:t>）</w:t>
      </w:r>
    </w:p>
    <w:p w14:paraId="24657394">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08705AF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投标人签章：</w:t>
      </w:r>
      <w:bookmarkEnd w:id="91"/>
    </w:p>
    <w:p w14:paraId="73D94C1B">
      <w:pPr>
        <w:spacing w:line="360" w:lineRule="auto"/>
        <w:jc w:val="center"/>
        <w:rPr>
          <w:rFonts w:hint="eastAsia" w:ascii="宋体" w:hAnsi="宋体"/>
          <w:bCs/>
          <w:color w:val="auto"/>
          <w:sz w:val="24"/>
          <w:highlight w:val="none"/>
          <w:lang w:val="zh-CN"/>
        </w:rPr>
      </w:pPr>
    </w:p>
    <w:p w14:paraId="14BBCB35">
      <w:pPr>
        <w:spacing w:line="360" w:lineRule="auto"/>
        <w:jc w:val="center"/>
        <w:rPr>
          <w:rFonts w:hint="eastAsia" w:ascii="宋体" w:hAnsi="宋体"/>
          <w:bCs/>
          <w:color w:val="auto"/>
          <w:sz w:val="24"/>
          <w:highlight w:val="none"/>
          <w:lang w:val="zh-CN"/>
        </w:rPr>
      </w:pPr>
    </w:p>
    <w:p w14:paraId="0B00B742">
      <w:pPr>
        <w:spacing w:line="360" w:lineRule="auto"/>
        <w:jc w:val="center"/>
        <w:rPr>
          <w:rFonts w:hint="eastAsia" w:ascii="宋体" w:hAnsi="宋体"/>
          <w:bCs/>
          <w:color w:val="auto"/>
          <w:sz w:val="24"/>
          <w:highlight w:val="none"/>
          <w:lang w:val="zh-CN"/>
        </w:rPr>
      </w:pPr>
    </w:p>
    <w:p w14:paraId="6939D1AA">
      <w:pPr>
        <w:spacing w:line="360" w:lineRule="auto"/>
        <w:jc w:val="center"/>
        <w:rPr>
          <w:rFonts w:hint="eastAsia" w:ascii="宋体" w:hAnsi="宋体"/>
          <w:bCs/>
          <w:color w:val="auto"/>
          <w:sz w:val="24"/>
          <w:highlight w:val="none"/>
          <w:lang w:val="zh-CN"/>
        </w:rPr>
      </w:pPr>
    </w:p>
    <w:p w14:paraId="0873BFF4">
      <w:pPr>
        <w:spacing w:line="360" w:lineRule="auto"/>
        <w:jc w:val="center"/>
        <w:rPr>
          <w:rFonts w:hint="eastAsia" w:ascii="宋体" w:hAnsi="宋体"/>
          <w:bCs/>
          <w:color w:val="auto"/>
          <w:sz w:val="24"/>
          <w:highlight w:val="none"/>
          <w:lang w:val="zh-CN"/>
        </w:rPr>
      </w:pPr>
    </w:p>
    <w:p w14:paraId="7FA906B2">
      <w:pPr>
        <w:spacing w:line="360" w:lineRule="auto"/>
        <w:jc w:val="center"/>
        <w:rPr>
          <w:rFonts w:hint="eastAsia" w:ascii="宋体" w:hAnsi="宋体"/>
          <w:bCs/>
          <w:color w:val="auto"/>
          <w:sz w:val="24"/>
          <w:highlight w:val="none"/>
          <w:lang w:val="zh-CN"/>
        </w:rPr>
      </w:pPr>
    </w:p>
    <w:p w14:paraId="547885BC">
      <w:pPr>
        <w:spacing w:line="360" w:lineRule="auto"/>
        <w:jc w:val="center"/>
        <w:rPr>
          <w:rFonts w:hint="eastAsia" w:ascii="宋体" w:hAnsi="宋体"/>
          <w:bCs/>
          <w:color w:val="auto"/>
          <w:sz w:val="24"/>
          <w:highlight w:val="none"/>
          <w:lang w:val="zh-CN"/>
        </w:rPr>
      </w:pPr>
    </w:p>
    <w:p w14:paraId="6BCA211A">
      <w:pPr>
        <w:tabs>
          <w:tab w:val="left" w:pos="0"/>
          <w:tab w:val="left" w:pos="255"/>
        </w:tabs>
        <w:spacing w:line="360" w:lineRule="auto"/>
        <w:rPr>
          <w:rFonts w:hint="eastAsia" w:ascii="宋体" w:hAnsi="宋体"/>
          <w:color w:val="auto"/>
          <w:sz w:val="24"/>
          <w:szCs w:val="21"/>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四</w:t>
      </w: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技术商务部分评分导读表（格式）</w:t>
      </w:r>
    </w:p>
    <w:p w14:paraId="13DD4650">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 xml:space="preserve"> 技术商务部分评分导读表</w:t>
      </w:r>
    </w:p>
    <w:p w14:paraId="2D742A73">
      <w:pPr>
        <w:spacing w:after="156" w:afterLines="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1"/>
          <w:highlight w:val="none"/>
          <w:lang w:val="zh-CN"/>
        </w:rPr>
        <w:t>宜兴市离岸水域深井控藻工程不可避让论证服务项目</w:t>
      </w:r>
      <w:r>
        <w:rPr>
          <w:rFonts w:hint="eastAsia" w:ascii="宋体" w:hAnsi="宋体"/>
          <w:color w:val="auto"/>
          <w:sz w:val="24"/>
          <w:szCs w:val="24"/>
          <w:highlight w:val="none"/>
        </w:rPr>
        <w:t xml:space="preserve">                                     </w:t>
      </w:r>
    </w:p>
    <w:p w14:paraId="600E0CF1">
      <w:pPr>
        <w:spacing w:after="156" w:afterLines="50"/>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YXGYJT202509031</w:t>
      </w:r>
      <w:r>
        <w:rPr>
          <w:rFonts w:hint="eastAsia" w:ascii="宋体" w:hAnsi="宋体"/>
          <w:color w:val="auto"/>
          <w:sz w:val="24"/>
          <w:szCs w:val="21"/>
          <w:highlight w:val="none"/>
          <w:lang w:val="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23"/>
        <w:gridCol w:w="4494"/>
        <w:gridCol w:w="1252"/>
        <w:gridCol w:w="1252"/>
      </w:tblGrid>
      <w:tr w14:paraId="1945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6DBA62DA">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123" w:type="dxa"/>
            <w:tcBorders>
              <w:top w:val="single" w:color="auto" w:sz="4" w:space="0"/>
              <w:left w:val="single" w:color="auto" w:sz="4" w:space="0"/>
              <w:right w:val="single" w:color="auto" w:sz="4" w:space="0"/>
            </w:tcBorders>
            <w:noWrap w:val="0"/>
            <w:vAlign w:val="center"/>
          </w:tcPr>
          <w:p w14:paraId="309C2C79">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4494" w:type="dxa"/>
            <w:tcBorders>
              <w:top w:val="single" w:color="auto" w:sz="4" w:space="0"/>
              <w:left w:val="single" w:color="auto" w:sz="4" w:space="0"/>
              <w:bottom w:val="single" w:color="auto" w:sz="4" w:space="0"/>
              <w:right w:val="single" w:color="auto" w:sz="4" w:space="0"/>
            </w:tcBorders>
            <w:noWrap w:val="0"/>
            <w:vAlign w:val="center"/>
          </w:tcPr>
          <w:p w14:paraId="27EA6268">
            <w:pPr>
              <w:jc w:val="center"/>
              <w:rPr>
                <w:rFonts w:hint="eastAsia" w:ascii="宋体" w:hAnsi="宋体"/>
                <w:color w:val="auto"/>
                <w:sz w:val="24"/>
                <w:szCs w:val="24"/>
                <w:highlight w:val="none"/>
              </w:rPr>
            </w:pPr>
            <w:r>
              <w:rPr>
                <w:rFonts w:hint="eastAsia" w:ascii="宋体" w:hAnsi="宋体"/>
                <w:color w:val="auto"/>
                <w:sz w:val="24"/>
                <w:szCs w:val="24"/>
                <w:highlight w:val="none"/>
              </w:rPr>
              <w:t>响应情况</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72B6095">
            <w:pPr>
              <w:jc w:val="center"/>
              <w:rPr>
                <w:rFonts w:hint="eastAsia" w:ascii="宋体" w:hAnsi="宋体"/>
                <w:color w:val="auto"/>
                <w:sz w:val="24"/>
                <w:szCs w:val="24"/>
                <w:highlight w:val="none"/>
              </w:rPr>
            </w:pPr>
            <w:r>
              <w:rPr>
                <w:rFonts w:hint="eastAsia" w:ascii="宋体" w:hAnsi="宋体"/>
                <w:color w:val="auto"/>
                <w:sz w:val="24"/>
                <w:szCs w:val="24"/>
                <w:highlight w:val="none"/>
              </w:rPr>
              <w:t>自评分</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C2EE75E">
            <w:pPr>
              <w:jc w:val="center"/>
              <w:rPr>
                <w:rFonts w:hint="eastAsia" w:ascii="宋体" w:hAnsi="宋体"/>
                <w:color w:val="auto"/>
                <w:sz w:val="24"/>
                <w:szCs w:val="24"/>
                <w:highlight w:val="none"/>
              </w:rPr>
            </w:pPr>
            <w:r>
              <w:rPr>
                <w:rFonts w:hint="eastAsia" w:ascii="宋体" w:hAnsi="宋体"/>
                <w:color w:val="auto"/>
                <w:sz w:val="24"/>
                <w:szCs w:val="24"/>
                <w:highlight w:val="none"/>
              </w:rPr>
              <w:t>投标文件对应页码</w:t>
            </w:r>
          </w:p>
        </w:tc>
      </w:tr>
      <w:tr w14:paraId="13C5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4B1449DB">
            <w:pPr>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123" w:type="dxa"/>
            <w:tcBorders>
              <w:top w:val="single" w:color="auto" w:sz="4" w:space="0"/>
              <w:left w:val="single" w:color="auto" w:sz="4" w:space="0"/>
              <w:right w:val="single" w:color="auto" w:sz="4" w:space="0"/>
            </w:tcBorders>
            <w:noWrap w:val="0"/>
            <w:vAlign w:val="center"/>
          </w:tcPr>
          <w:p w14:paraId="1AAB227E">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6F00DC02">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7339A2A">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9DFBD81">
            <w:pPr>
              <w:jc w:val="center"/>
              <w:rPr>
                <w:rFonts w:hint="eastAsia" w:ascii="宋体" w:hAnsi="宋体"/>
                <w:color w:val="auto"/>
                <w:sz w:val="24"/>
                <w:szCs w:val="24"/>
                <w:highlight w:val="none"/>
              </w:rPr>
            </w:pPr>
          </w:p>
        </w:tc>
      </w:tr>
      <w:tr w14:paraId="38C0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3DAD0F56">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123" w:type="dxa"/>
            <w:tcBorders>
              <w:top w:val="single" w:color="auto" w:sz="4" w:space="0"/>
              <w:left w:val="single" w:color="auto" w:sz="4" w:space="0"/>
              <w:right w:val="single" w:color="auto" w:sz="4" w:space="0"/>
            </w:tcBorders>
            <w:noWrap w:val="0"/>
            <w:vAlign w:val="center"/>
          </w:tcPr>
          <w:p w14:paraId="4081E352">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23796492">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A9B7914">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F2595C5">
            <w:pPr>
              <w:jc w:val="center"/>
              <w:rPr>
                <w:rFonts w:hint="eastAsia" w:ascii="宋体" w:hAnsi="宋体"/>
                <w:color w:val="auto"/>
                <w:sz w:val="24"/>
                <w:szCs w:val="24"/>
                <w:highlight w:val="none"/>
              </w:rPr>
            </w:pPr>
          </w:p>
        </w:tc>
      </w:tr>
      <w:tr w14:paraId="25A2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3AA93FE3">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123" w:type="dxa"/>
            <w:tcBorders>
              <w:top w:val="single" w:color="auto" w:sz="4" w:space="0"/>
              <w:left w:val="single" w:color="auto" w:sz="4" w:space="0"/>
              <w:right w:val="single" w:color="auto" w:sz="4" w:space="0"/>
            </w:tcBorders>
            <w:noWrap w:val="0"/>
            <w:vAlign w:val="center"/>
          </w:tcPr>
          <w:p w14:paraId="5F1014FB">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663DC5E8">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B2CF32F">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497F272">
            <w:pPr>
              <w:jc w:val="center"/>
              <w:rPr>
                <w:rFonts w:hint="eastAsia" w:ascii="宋体" w:hAnsi="宋体"/>
                <w:color w:val="auto"/>
                <w:sz w:val="24"/>
                <w:szCs w:val="24"/>
                <w:highlight w:val="none"/>
              </w:rPr>
            </w:pPr>
          </w:p>
        </w:tc>
      </w:tr>
    </w:tbl>
    <w:p w14:paraId="22616E16">
      <w:pPr>
        <w:spacing w:line="360" w:lineRule="auto"/>
        <w:ind w:left="5460" w:hanging="5460" w:hangingChars="2275"/>
        <w:jc w:val="center"/>
        <w:rPr>
          <w:rFonts w:hint="eastAsia" w:ascii="宋体" w:hAnsi="宋体"/>
          <w:bCs/>
          <w:color w:val="auto"/>
          <w:sz w:val="24"/>
          <w:highlight w:val="none"/>
          <w:lang w:val="zh-CN"/>
        </w:rPr>
      </w:pPr>
    </w:p>
    <w:p w14:paraId="5487004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0DDFD39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4F500A3B">
      <w:pPr>
        <w:spacing w:line="580" w:lineRule="exact"/>
        <w:ind w:firstLine="480" w:firstLineChars="200"/>
        <w:rPr>
          <w:rFonts w:hint="eastAsia" w:ascii="宋体" w:hAnsi="宋体"/>
          <w:bCs/>
          <w:color w:val="auto"/>
          <w:sz w:val="24"/>
          <w:szCs w:val="24"/>
          <w:highlight w:val="none"/>
          <w:lang w:val="zh-CN"/>
        </w:rPr>
      </w:pPr>
    </w:p>
    <w:p w14:paraId="7160B282">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注：投标人应对照招标文件“第</w:t>
      </w:r>
      <w:r>
        <w:rPr>
          <w:rFonts w:hint="eastAsia" w:ascii="宋体" w:hAnsi="宋体"/>
          <w:bCs/>
          <w:color w:val="auto"/>
          <w:sz w:val="24"/>
          <w:szCs w:val="24"/>
          <w:highlight w:val="none"/>
        </w:rPr>
        <w:t>四</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评标方法和标准”的相关要求，根据自身响应情况填写上表；并在“</w:t>
      </w:r>
      <w:r>
        <w:rPr>
          <w:rFonts w:hint="eastAsia" w:ascii="宋体" w:hAnsi="宋体"/>
          <w:color w:val="auto"/>
          <w:sz w:val="24"/>
          <w:szCs w:val="24"/>
          <w:highlight w:val="none"/>
        </w:rPr>
        <w:t>响应情况</w:t>
      </w:r>
      <w:r>
        <w:rPr>
          <w:rFonts w:hint="eastAsia" w:ascii="宋体" w:hAnsi="宋体"/>
          <w:bCs/>
          <w:color w:val="auto"/>
          <w:sz w:val="24"/>
          <w:szCs w:val="24"/>
          <w:highlight w:val="none"/>
          <w:lang w:val="zh-CN"/>
        </w:rPr>
        <w:t>”栏填入所提供的证明材料清单，</w:t>
      </w:r>
      <w:r>
        <w:rPr>
          <w:rFonts w:hint="eastAsia" w:ascii="宋体" w:hAnsi="宋体"/>
          <w:bCs/>
          <w:color w:val="auto"/>
          <w:sz w:val="24"/>
          <w:szCs w:val="24"/>
          <w:highlight w:val="none"/>
        </w:rPr>
        <w:t>没有证明材料的此栏填“无”</w:t>
      </w:r>
      <w:r>
        <w:rPr>
          <w:rFonts w:hint="eastAsia" w:ascii="宋体" w:hAnsi="宋体"/>
          <w:bCs/>
          <w:color w:val="auto"/>
          <w:sz w:val="24"/>
          <w:szCs w:val="24"/>
          <w:highlight w:val="none"/>
          <w:lang w:val="zh-CN"/>
        </w:rPr>
        <w:t>。</w:t>
      </w:r>
    </w:p>
    <w:p w14:paraId="14F8E212">
      <w:pPr>
        <w:spacing w:line="580" w:lineRule="exact"/>
        <w:rPr>
          <w:rFonts w:hint="eastAsia" w:ascii="黑体" w:hAnsi="宋体" w:eastAsia="黑体"/>
          <w:bCs/>
          <w:color w:val="auto"/>
          <w:sz w:val="24"/>
          <w:szCs w:val="24"/>
          <w:highlight w:val="none"/>
          <w:lang w:val="zh-CN"/>
        </w:rPr>
      </w:pPr>
    </w:p>
    <w:p w14:paraId="763317F7">
      <w:pPr>
        <w:spacing w:line="580" w:lineRule="exact"/>
        <w:rPr>
          <w:rFonts w:hint="eastAsia" w:ascii="黑体" w:hAnsi="宋体" w:eastAsia="黑体"/>
          <w:bCs/>
          <w:color w:val="auto"/>
          <w:sz w:val="24"/>
          <w:szCs w:val="24"/>
          <w:highlight w:val="none"/>
          <w:lang w:val="zh-CN"/>
        </w:rPr>
      </w:pPr>
    </w:p>
    <w:p w14:paraId="460CF226">
      <w:pPr>
        <w:pStyle w:val="8"/>
        <w:ind w:left="900" w:hanging="480"/>
        <w:rPr>
          <w:rFonts w:hint="eastAsia" w:ascii="黑体" w:hAnsi="宋体" w:eastAsia="黑体"/>
          <w:bCs/>
          <w:color w:val="auto"/>
          <w:sz w:val="24"/>
          <w:szCs w:val="24"/>
          <w:highlight w:val="none"/>
          <w:lang w:val="zh-CN"/>
        </w:rPr>
      </w:pPr>
    </w:p>
    <w:p w14:paraId="0FF72B25">
      <w:pPr>
        <w:rPr>
          <w:rFonts w:hint="eastAsia" w:ascii="黑体" w:hAnsi="宋体" w:eastAsia="黑体"/>
          <w:bCs/>
          <w:color w:val="auto"/>
          <w:sz w:val="24"/>
          <w:szCs w:val="24"/>
          <w:highlight w:val="none"/>
          <w:lang w:val="zh-CN"/>
        </w:rPr>
      </w:pPr>
    </w:p>
    <w:p w14:paraId="02E8C484">
      <w:pPr>
        <w:pStyle w:val="8"/>
        <w:ind w:left="900" w:hanging="480"/>
        <w:rPr>
          <w:rFonts w:hint="eastAsia" w:ascii="黑体" w:hAnsi="宋体" w:eastAsia="黑体"/>
          <w:bCs/>
          <w:color w:val="auto"/>
          <w:sz w:val="24"/>
          <w:szCs w:val="24"/>
          <w:highlight w:val="none"/>
          <w:lang w:val="zh-CN"/>
        </w:rPr>
      </w:pPr>
    </w:p>
    <w:p w14:paraId="5E92F622">
      <w:pPr>
        <w:rPr>
          <w:rFonts w:hint="eastAsia" w:ascii="黑体" w:hAnsi="宋体" w:eastAsia="黑体"/>
          <w:bCs/>
          <w:color w:val="auto"/>
          <w:sz w:val="24"/>
          <w:szCs w:val="24"/>
          <w:highlight w:val="none"/>
          <w:lang w:val="zh-CN"/>
        </w:rPr>
      </w:pPr>
    </w:p>
    <w:p w14:paraId="202746EB">
      <w:pPr>
        <w:pStyle w:val="8"/>
        <w:ind w:left="900" w:hanging="480"/>
        <w:rPr>
          <w:rFonts w:hint="eastAsia" w:ascii="黑体" w:hAnsi="宋体" w:eastAsia="黑体"/>
          <w:bCs/>
          <w:color w:val="auto"/>
          <w:sz w:val="24"/>
          <w:szCs w:val="24"/>
          <w:highlight w:val="none"/>
          <w:lang w:val="zh-CN"/>
        </w:rPr>
      </w:pPr>
    </w:p>
    <w:p w14:paraId="43392562">
      <w:pPr>
        <w:rPr>
          <w:rFonts w:hint="eastAsia" w:ascii="黑体" w:hAnsi="宋体" w:eastAsia="黑体"/>
          <w:bCs/>
          <w:color w:val="auto"/>
          <w:sz w:val="24"/>
          <w:szCs w:val="24"/>
          <w:highlight w:val="none"/>
          <w:lang w:val="zh-CN"/>
        </w:rPr>
      </w:pPr>
    </w:p>
    <w:p w14:paraId="470E2D19">
      <w:pPr>
        <w:pStyle w:val="8"/>
        <w:ind w:left="900" w:hanging="480"/>
        <w:rPr>
          <w:rFonts w:hint="eastAsia" w:ascii="黑体" w:hAnsi="宋体" w:eastAsia="黑体"/>
          <w:bCs/>
          <w:color w:val="auto"/>
          <w:sz w:val="24"/>
          <w:szCs w:val="24"/>
          <w:highlight w:val="none"/>
          <w:lang w:val="zh-CN"/>
        </w:rPr>
      </w:pPr>
    </w:p>
    <w:p w14:paraId="178CFD40">
      <w:pPr>
        <w:spacing w:line="580" w:lineRule="exact"/>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五</w:t>
      </w: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zh-CN"/>
        </w:rPr>
        <w:t>项目人员配置清单（格式）</w:t>
      </w:r>
    </w:p>
    <w:p w14:paraId="0BE5592C">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428B62F0">
      <w:pPr>
        <w:tabs>
          <w:tab w:val="left" w:pos="255"/>
        </w:tabs>
        <w:spacing w:line="360" w:lineRule="auto"/>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投标人（签章）：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74"/>
        <w:gridCol w:w="1232"/>
        <w:gridCol w:w="1177"/>
        <w:gridCol w:w="1326"/>
        <w:gridCol w:w="1177"/>
        <w:gridCol w:w="1031"/>
        <w:gridCol w:w="1043"/>
      </w:tblGrid>
      <w:tr w14:paraId="73CC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A51C56F">
            <w:pPr>
              <w:jc w:val="center"/>
              <w:rPr>
                <w:rFonts w:hint="eastAsia"/>
                <w:bCs/>
                <w:color w:val="auto"/>
                <w:sz w:val="24"/>
                <w:highlight w:val="none"/>
              </w:rPr>
            </w:pPr>
            <w:r>
              <w:rPr>
                <w:rFonts w:hint="eastAsia" w:ascii="宋体" w:hAnsi="宋体"/>
                <w:bCs/>
                <w:color w:val="auto"/>
                <w:sz w:val="24"/>
                <w:highlight w:val="none"/>
              </w:rPr>
              <w:t>序号</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0D6BB68">
            <w:pPr>
              <w:jc w:val="center"/>
              <w:rPr>
                <w:rFonts w:hint="eastAsia"/>
                <w:bCs/>
                <w:color w:val="auto"/>
                <w:sz w:val="24"/>
                <w:highlight w:val="none"/>
              </w:rPr>
            </w:pPr>
            <w:r>
              <w:rPr>
                <w:rFonts w:hint="eastAsia" w:ascii="宋体" w:hAnsi="宋体"/>
                <w:bCs/>
                <w:color w:val="auto"/>
                <w:sz w:val="24"/>
                <w:highlight w:val="none"/>
              </w:rPr>
              <w:t>姓名</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0B7B305">
            <w:pPr>
              <w:jc w:val="center"/>
              <w:rPr>
                <w:rFonts w:hint="eastAsia"/>
                <w:bCs/>
                <w:color w:val="auto"/>
                <w:sz w:val="24"/>
                <w:highlight w:val="none"/>
              </w:rPr>
            </w:pPr>
            <w:r>
              <w:rPr>
                <w:rFonts w:hint="eastAsia" w:ascii="宋体" w:hAnsi="宋体"/>
                <w:bCs/>
                <w:color w:val="auto"/>
                <w:sz w:val="24"/>
                <w:highlight w:val="none"/>
              </w:rPr>
              <w:t>性别</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3644661">
            <w:pPr>
              <w:jc w:val="center"/>
              <w:rPr>
                <w:rFonts w:hint="eastAsia"/>
                <w:bCs/>
                <w:color w:val="auto"/>
                <w:sz w:val="24"/>
                <w:highlight w:val="none"/>
              </w:rPr>
            </w:pPr>
            <w:r>
              <w:rPr>
                <w:rFonts w:hint="eastAsia" w:ascii="宋体" w:hAnsi="宋体"/>
                <w:bCs/>
                <w:color w:val="auto"/>
                <w:sz w:val="24"/>
                <w:highlight w:val="none"/>
              </w:rPr>
              <w:t>年龄</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35B285E">
            <w:pPr>
              <w:jc w:val="center"/>
              <w:rPr>
                <w:rFonts w:hint="eastAsia"/>
                <w:bCs/>
                <w:color w:val="auto"/>
                <w:sz w:val="24"/>
                <w:highlight w:val="none"/>
              </w:rPr>
            </w:pPr>
            <w:r>
              <w:rPr>
                <w:rFonts w:hint="eastAsia" w:ascii="宋体" w:hAnsi="宋体"/>
                <w:bCs/>
                <w:color w:val="auto"/>
                <w:sz w:val="24"/>
                <w:highlight w:val="none"/>
              </w:rPr>
              <w:t>岗位名称</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44553631">
            <w:pPr>
              <w:jc w:val="center"/>
              <w:rPr>
                <w:bCs/>
                <w:color w:val="auto"/>
                <w:sz w:val="24"/>
                <w:highlight w:val="none"/>
              </w:rPr>
            </w:pPr>
            <w:r>
              <w:rPr>
                <w:rFonts w:hint="eastAsia" w:ascii="宋体" w:hAnsi="宋体"/>
                <w:bCs/>
                <w:color w:val="auto"/>
                <w:sz w:val="24"/>
                <w:highlight w:val="none"/>
              </w:rPr>
              <w:t>身体状况</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FA902F3">
            <w:pPr>
              <w:jc w:val="center"/>
              <w:rPr>
                <w:rFonts w:hint="eastAsia"/>
                <w:bCs/>
                <w:color w:val="auto"/>
                <w:sz w:val="24"/>
                <w:highlight w:val="none"/>
              </w:rPr>
            </w:pPr>
            <w:r>
              <w:rPr>
                <w:rFonts w:hint="eastAsia" w:ascii="宋体" w:hAnsi="宋体"/>
                <w:bCs/>
                <w:color w:val="auto"/>
                <w:sz w:val="24"/>
                <w:highlight w:val="none"/>
              </w:rPr>
              <w:t>是否驻扎现场</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BBC2D7A">
            <w:pPr>
              <w:jc w:val="center"/>
              <w:rPr>
                <w:bCs/>
                <w:color w:val="auto"/>
                <w:sz w:val="24"/>
                <w:highlight w:val="none"/>
              </w:rPr>
            </w:pPr>
            <w:r>
              <w:rPr>
                <w:rFonts w:hint="eastAsia"/>
                <w:bCs/>
                <w:color w:val="auto"/>
                <w:sz w:val="24"/>
                <w:highlight w:val="none"/>
              </w:rPr>
              <w:t>备注</w:t>
            </w:r>
          </w:p>
        </w:tc>
      </w:tr>
      <w:tr w14:paraId="54B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7B99FEE9">
            <w:pPr>
              <w:jc w:val="center"/>
              <w:rPr>
                <w:rFonts w:hint="eastAsia" w:ascii="宋体" w:hAnsi="宋体"/>
                <w:color w:val="auto"/>
                <w:sz w:val="24"/>
                <w:highlight w:val="none"/>
              </w:rPr>
            </w:pPr>
            <w:r>
              <w:rPr>
                <w:rFonts w:hint="eastAsia" w:ascii="宋体" w:hAnsi="宋体"/>
                <w:color w:val="auto"/>
                <w:sz w:val="24"/>
                <w:highlight w:val="none"/>
              </w:rPr>
              <w:t>1</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CE10ADE">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B8E783C">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27E558E">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B620D4D">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6A70E3D">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B10FAEC">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2A9BB82">
            <w:pPr>
              <w:jc w:val="center"/>
              <w:rPr>
                <w:rFonts w:hint="eastAsia" w:ascii="宋体" w:hAnsi="宋体"/>
                <w:color w:val="auto"/>
                <w:sz w:val="24"/>
                <w:highlight w:val="none"/>
              </w:rPr>
            </w:pPr>
          </w:p>
        </w:tc>
      </w:tr>
      <w:tr w14:paraId="2812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5CDEF70">
            <w:pPr>
              <w:jc w:val="center"/>
              <w:rPr>
                <w:rFonts w:hint="eastAsia" w:ascii="宋体" w:hAnsi="宋体"/>
                <w:color w:val="auto"/>
                <w:sz w:val="24"/>
                <w:highlight w:val="none"/>
              </w:rPr>
            </w:pPr>
            <w:r>
              <w:rPr>
                <w:rFonts w:hint="eastAsia" w:ascii="宋体" w:hAnsi="宋体"/>
                <w:color w:val="auto"/>
                <w:sz w:val="24"/>
                <w:highlight w:val="none"/>
              </w:rPr>
              <w:t>2</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EB4BF89">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8633729">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6A436A8">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055CB9E">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C3E5BFD">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81F15E9">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27FC18D">
            <w:pPr>
              <w:jc w:val="center"/>
              <w:rPr>
                <w:rFonts w:hint="eastAsia" w:ascii="宋体" w:hAnsi="宋体"/>
                <w:color w:val="auto"/>
                <w:sz w:val="24"/>
                <w:highlight w:val="none"/>
              </w:rPr>
            </w:pPr>
          </w:p>
        </w:tc>
      </w:tr>
      <w:tr w14:paraId="1D07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47B720B7">
            <w:pPr>
              <w:jc w:val="center"/>
              <w:rPr>
                <w:rFonts w:hint="eastAsia" w:ascii="宋体" w:hAnsi="宋体"/>
                <w:color w:val="auto"/>
                <w:sz w:val="24"/>
                <w:highlight w:val="none"/>
              </w:rPr>
            </w:pPr>
            <w:r>
              <w:rPr>
                <w:rFonts w:hint="eastAsia" w:ascii="宋体" w:hAnsi="宋体"/>
                <w:color w:val="auto"/>
                <w:sz w:val="24"/>
                <w:highlight w:val="none"/>
              </w:rPr>
              <w:t>3</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4EB624D">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60DF10C">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A6EBE77">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99BFFEA">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B050227">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8F3414D">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27CD1EF">
            <w:pPr>
              <w:jc w:val="center"/>
              <w:rPr>
                <w:rFonts w:hint="eastAsia" w:ascii="宋体" w:hAnsi="宋体"/>
                <w:color w:val="auto"/>
                <w:sz w:val="24"/>
                <w:highlight w:val="none"/>
              </w:rPr>
            </w:pPr>
          </w:p>
        </w:tc>
      </w:tr>
      <w:tr w14:paraId="2D7E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439F174">
            <w:pPr>
              <w:jc w:val="center"/>
              <w:rPr>
                <w:rFonts w:hint="eastAsia" w:ascii="宋体" w:hAnsi="宋体"/>
                <w:color w:val="auto"/>
                <w:sz w:val="24"/>
                <w:highlight w:val="none"/>
              </w:rPr>
            </w:pPr>
            <w:r>
              <w:rPr>
                <w:rFonts w:hint="eastAsia" w:ascii="宋体" w:hAnsi="宋体"/>
                <w:color w:val="auto"/>
                <w:sz w:val="24"/>
                <w:highlight w:val="none"/>
              </w:rPr>
              <w:t>4</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C2EDC6B">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B6492A0">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D069E35">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7B1A583D">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AA4004D">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7FC7BDB">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A37CB8C">
            <w:pPr>
              <w:jc w:val="center"/>
              <w:rPr>
                <w:rFonts w:hint="eastAsia" w:ascii="宋体" w:hAnsi="宋体"/>
                <w:color w:val="auto"/>
                <w:sz w:val="24"/>
                <w:highlight w:val="none"/>
              </w:rPr>
            </w:pPr>
          </w:p>
        </w:tc>
      </w:tr>
      <w:tr w14:paraId="1B65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978729E">
            <w:pPr>
              <w:jc w:val="center"/>
              <w:rPr>
                <w:rFonts w:hint="eastAsia" w:ascii="宋体" w:hAnsi="宋体"/>
                <w:color w:val="auto"/>
                <w:sz w:val="24"/>
                <w:highlight w:val="none"/>
              </w:rPr>
            </w:pPr>
            <w:r>
              <w:rPr>
                <w:rFonts w:hint="eastAsia" w:ascii="宋体" w:hAnsi="宋体"/>
                <w:color w:val="auto"/>
                <w:sz w:val="24"/>
                <w:highlight w:val="none"/>
              </w:rPr>
              <w:t>5</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348DD58">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3CAECA8">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3E07A53">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D3AFEA3">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F4B52C6">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3458074">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089572F5">
            <w:pPr>
              <w:jc w:val="center"/>
              <w:rPr>
                <w:rFonts w:hint="eastAsia" w:ascii="宋体" w:hAnsi="宋体"/>
                <w:color w:val="auto"/>
                <w:sz w:val="24"/>
                <w:highlight w:val="none"/>
              </w:rPr>
            </w:pPr>
          </w:p>
        </w:tc>
      </w:tr>
      <w:tr w14:paraId="2E83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477B02A5">
            <w:pPr>
              <w:jc w:val="center"/>
              <w:rPr>
                <w:rFonts w:hint="eastAsia" w:ascii="宋体" w:hAnsi="宋体"/>
                <w:color w:val="auto"/>
                <w:sz w:val="24"/>
                <w:highlight w:val="none"/>
              </w:rPr>
            </w:pPr>
            <w:r>
              <w:rPr>
                <w:rFonts w:hint="eastAsia" w:ascii="宋体" w:hAnsi="宋体"/>
                <w:color w:val="auto"/>
                <w:sz w:val="24"/>
                <w:highlight w:val="none"/>
              </w:rPr>
              <w:t>6</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183E752">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9363E0A">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377C92F">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54D5590">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6A64726">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037141C">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00965EA4">
            <w:pPr>
              <w:jc w:val="center"/>
              <w:rPr>
                <w:rFonts w:hint="eastAsia" w:ascii="宋体" w:hAnsi="宋体"/>
                <w:color w:val="auto"/>
                <w:sz w:val="24"/>
                <w:highlight w:val="none"/>
              </w:rPr>
            </w:pPr>
          </w:p>
        </w:tc>
      </w:tr>
      <w:tr w14:paraId="602F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3A5991E">
            <w:pPr>
              <w:jc w:val="center"/>
              <w:rPr>
                <w:rFonts w:hint="eastAsia" w:ascii="宋体" w:hAnsi="宋体"/>
                <w:color w:val="auto"/>
                <w:sz w:val="24"/>
                <w:highlight w:val="none"/>
              </w:rPr>
            </w:pPr>
            <w:r>
              <w:rPr>
                <w:rFonts w:hint="eastAsia" w:ascii="宋体" w:hAnsi="宋体"/>
                <w:color w:val="auto"/>
                <w:sz w:val="24"/>
                <w:highlight w:val="none"/>
              </w:rPr>
              <w:t>7</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6289575">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FB72268">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92E89BA">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544F256">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7A492CFC">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247A4E0">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80BE54A">
            <w:pPr>
              <w:jc w:val="center"/>
              <w:rPr>
                <w:rFonts w:hint="eastAsia" w:ascii="宋体" w:hAnsi="宋体"/>
                <w:color w:val="auto"/>
                <w:sz w:val="24"/>
                <w:highlight w:val="none"/>
              </w:rPr>
            </w:pPr>
          </w:p>
        </w:tc>
      </w:tr>
      <w:tr w14:paraId="05EA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02E062B4">
            <w:pPr>
              <w:jc w:val="center"/>
              <w:rPr>
                <w:rFonts w:hint="eastAsia" w:ascii="宋体" w:hAnsi="宋体"/>
                <w:color w:val="auto"/>
                <w:sz w:val="24"/>
                <w:highlight w:val="none"/>
              </w:rPr>
            </w:pPr>
            <w:r>
              <w:rPr>
                <w:rFonts w:hint="eastAsia" w:ascii="宋体" w:hAnsi="宋体"/>
                <w:color w:val="auto"/>
                <w:sz w:val="24"/>
                <w:highlight w:val="none"/>
              </w:rPr>
              <w:t>8</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40D6973">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1FEE70D">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FD974CB">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FAA9B2B">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B8ED248">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9F52CCD">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03544918">
            <w:pPr>
              <w:jc w:val="center"/>
              <w:rPr>
                <w:rFonts w:hint="eastAsia" w:ascii="宋体" w:hAnsi="宋体"/>
                <w:color w:val="auto"/>
                <w:sz w:val="24"/>
                <w:highlight w:val="none"/>
              </w:rPr>
            </w:pPr>
          </w:p>
        </w:tc>
      </w:tr>
      <w:tr w14:paraId="1C57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07DE8845">
            <w:pPr>
              <w:jc w:val="center"/>
              <w:rPr>
                <w:rFonts w:hint="eastAsia" w:ascii="宋体" w:hAnsi="宋体"/>
                <w:color w:val="auto"/>
                <w:sz w:val="24"/>
                <w:highlight w:val="none"/>
              </w:rPr>
            </w:pPr>
            <w:r>
              <w:rPr>
                <w:rFonts w:hint="eastAsia" w:ascii="宋体" w:hAnsi="宋体"/>
                <w:color w:val="auto"/>
                <w:sz w:val="24"/>
                <w:highlight w:val="none"/>
              </w:rPr>
              <w:t>9</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0D81B56">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553DC12">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B73DDA8">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EF854C1">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BCEF1EB">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34F3905">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B63F46E">
            <w:pPr>
              <w:jc w:val="center"/>
              <w:rPr>
                <w:rFonts w:hint="eastAsia" w:ascii="宋体" w:hAnsi="宋体"/>
                <w:color w:val="auto"/>
                <w:sz w:val="24"/>
                <w:highlight w:val="none"/>
              </w:rPr>
            </w:pPr>
          </w:p>
        </w:tc>
      </w:tr>
      <w:tr w14:paraId="4C46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7C2BB155">
            <w:pPr>
              <w:jc w:val="center"/>
              <w:rPr>
                <w:rFonts w:hint="eastAsia" w:ascii="宋体" w:hAnsi="宋体"/>
                <w:color w:val="auto"/>
                <w:sz w:val="24"/>
                <w:highlight w:val="none"/>
              </w:rPr>
            </w:pPr>
            <w:r>
              <w:rPr>
                <w:rFonts w:hint="eastAsia" w:ascii="宋体" w:hAnsi="宋体"/>
                <w:color w:val="auto"/>
                <w:sz w:val="24"/>
                <w:highlight w:val="none"/>
              </w:rPr>
              <w:t>10</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4596568">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7815C73">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ADCC6D9">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65DE5B27">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37812B5">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0E69FD2">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011DDC9">
            <w:pPr>
              <w:jc w:val="center"/>
              <w:rPr>
                <w:rFonts w:hint="eastAsia" w:ascii="宋体" w:hAnsi="宋体"/>
                <w:color w:val="auto"/>
                <w:sz w:val="24"/>
                <w:highlight w:val="none"/>
              </w:rPr>
            </w:pPr>
          </w:p>
        </w:tc>
      </w:tr>
      <w:tr w14:paraId="0C84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1E74328B">
            <w:pPr>
              <w:jc w:val="center"/>
              <w:rPr>
                <w:rFonts w:hint="eastAsia"/>
                <w:color w:val="auto"/>
                <w:sz w:val="24"/>
                <w:highlight w:val="none"/>
              </w:rPr>
            </w:pPr>
            <w:r>
              <w:rPr>
                <w:rFonts w:hint="eastAsia"/>
                <w:color w:val="auto"/>
                <w:sz w:val="24"/>
                <w:highlight w:val="none"/>
              </w:rPr>
              <w:t>…</w:t>
            </w:r>
            <w:r>
              <w:rPr>
                <w:rFonts w:hint="eastAsia" w:ascii="宋体" w:hAnsi="宋体"/>
                <w:color w:val="auto"/>
                <w:sz w:val="24"/>
                <w:highlight w:val="none"/>
              </w:rPr>
              <w:t xml:space="preserve"> </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35BE96D">
            <w:pPr>
              <w:jc w:val="center"/>
              <w:rPr>
                <w:rFonts w:hint="eastAsia"/>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EC98EE9">
            <w:pPr>
              <w:jc w:val="center"/>
              <w:rPr>
                <w:rFonts w:hint="eastAsia"/>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2B48CE17">
            <w:pPr>
              <w:jc w:val="center"/>
              <w:rPr>
                <w:rFonts w:hint="eastAsia"/>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88509C9">
            <w:pPr>
              <w:jc w:val="center"/>
              <w:rPr>
                <w:rFonts w:hint="eastAsia"/>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2EDFB892">
            <w:pPr>
              <w:jc w:val="center"/>
              <w:rPr>
                <w:rFonts w:hint="eastAsia"/>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098B250">
            <w:pPr>
              <w:jc w:val="center"/>
              <w:rPr>
                <w:rFonts w:hint="eastAsia"/>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55C8B23">
            <w:pPr>
              <w:jc w:val="center"/>
              <w:rPr>
                <w:rFonts w:hint="eastAsia"/>
                <w:color w:val="auto"/>
                <w:sz w:val="24"/>
                <w:highlight w:val="none"/>
              </w:rPr>
            </w:pPr>
          </w:p>
        </w:tc>
      </w:tr>
    </w:tbl>
    <w:p w14:paraId="49BC6120">
      <w:pPr>
        <w:tabs>
          <w:tab w:val="left" w:pos="255"/>
        </w:tabs>
        <w:spacing w:line="360" w:lineRule="auto"/>
        <w:ind w:left="840" w:leftChars="400"/>
        <w:rPr>
          <w:rFonts w:hint="eastAsia" w:ascii="宋体" w:hAnsi="宋体"/>
          <w:bCs/>
          <w:color w:val="auto"/>
          <w:sz w:val="24"/>
          <w:szCs w:val="24"/>
          <w:highlight w:val="none"/>
          <w:lang w:val="zh-CN"/>
        </w:rPr>
      </w:pPr>
    </w:p>
    <w:p w14:paraId="4C488C59">
      <w:pPr>
        <w:rPr>
          <w:rFonts w:hint="eastAsia"/>
          <w:color w:val="auto"/>
          <w:highlight w:val="none"/>
        </w:rPr>
      </w:pPr>
      <w:r>
        <w:rPr>
          <w:rFonts w:hint="eastAsia" w:ascii="宋体" w:hAnsi="宋体"/>
          <w:color w:val="auto"/>
          <w:highlight w:val="none"/>
        </w:rPr>
        <w:t>注：1.表格不够可自行延长。</w:t>
      </w:r>
    </w:p>
    <w:p w14:paraId="0E760520">
      <w:pPr>
        <w:ind w:firstLine="367" w:firstLineChars="175"/>
        <w:rPr>
          <w:rFonts w:hint="eastAsia" w:ascii="宋体" w:hAnsi="宋体"/>
          <w:color w:val="auto"/>
          <w:highlight w:val="none"/>
        </w:rPr>
      </w:pPr>
      <w:r>
        <w:rPr>
          <w:rFonts w:hint="eastAsia" w:ascii="宋体" w:hAnsi="宋体"/>
          <w:color w:val="auto"/>
          <w:highlight w:val="none"/>
        </w:rPr>
        <w:t>2.上表内容须按招标文件要求提供经社保部门确认的社保缴纳名单复印件（标注各人员所处位置）和相关证书复印件作为填列证明材料，证明材料请附在本表之后。</w:t>
      </w:r>
    </w:p>
    <w:p w14:paraId="6C428832">
      <w:pPr>
        <w:ind w:firstLine="367" w:firstLineChars="175"/>
        <w:rPr>
          <w:rFonts w:ascii="黑体" w:hAnsi="宋体" w:eastAsia="黑体"/>
          <w:color w:val="auto"/>
          <w:sz w:val="24"/>
          <w:highlight w:val="none"/>
        </w:rPr>
      </w:pPr>
      <w:r>
        <w:rPr>
          <w:rFonts w:hint="eastAsia" w:ascii="宋体" w:hAnsi="宋体"/>
          <w:color w:val="auto"/>
          <w:highlight w:val="none"/>
          <w:lang w:val="en-US" w:eastAsia="zh-CN"/>
        </w:rPr>
        <w:t>3.</w:t>
      </w:r>
      <w:r>
        <w:rPr>
          <w:rFonts w:hint="eastAsia" w:ascii="宋体" w:hAnsi="宋体"/>
          <w:color w:val="auto"/>
          <w:highlight w:val="none"/>
        </w:rPr>
        <w:t>上述</w:t>
      </w:r>
      <w:r>
        <w:rPr>
          <w:rFonts w:hint="eastAsia"/>
          <w:color w:val="auto"/>
          <w:highlight w:val="none"/>
        </w:rPr>
        <w:t>人员如在项目执行过程中需要更换，须经采购人同意。擅自更换或不到位属违约行为。</w:t>
      </w:r>
    </w:p>
    <w:p w14:paraId="5BC1D8ED">
      <w:pPr>
        <w:tabs>
          <w:tab w:val="left" w:pos="255"/>
        </w:tabs>
        <w:spacing w:line="360" w:lineRule="auto"/>
        <w:ind w:left="840" w:leftChars="400"/>
        <w:rPr>
          <w:rFonts w:hint="eastAsia" w:ascii="宋体" w:hAnsi="宋体"/>
          <w:bCs/>
          <w:color w:val="auto"/>
          <w:sz w:val="24"/>
          <w:szCs w:val="24"/>
          <w:highlight w:val="none"/>
          <w:lang w:val="zh-CN"/>
        </w:rPr>
      </w:pPr>
    </w:p>
    <w:p w14:paraId="7EC27C59">
      <w:pPr>
        <w:tabs>
          <w:tab w:val="left" w:pos="255"/>
        </w:tabs>
        <w:spacing w:line="360" w:lineRule="auto"/>
        <w:ind w:left="840" w:leftChars="400"/>
        <w:rPr>
          <w:rFonts w:hint="eastAsia" w:ascii="宋体" w:hAnsi="宋体"/>
          <w:bCs/>
          <w:color w:val="auto"/>
          <w:sz w:val="24"/>
          <w:szCs w:val="24"/>
          <w:highlight w:val="none"/>
          <w:lang w:val="zh-CN"/>
        </w:rPr>
      </w:pPr>
    </w:p>
    <w:p w14:paraId="58647170">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60599C2D">
      <w:pPr>
        <w:tabs>
          <w:tab w:val="left" w:pos="255"/>
        </w:tabs>
        <w:spacing w:line="360" w:lineRule="auto"/>
        <w:jc w:val="left"/>
        <w:rPr>
          <w:rFonts w:hint="eastAsia" w:ascii="黑体" w:hAnsi="宋体" w:eastAsia="黑体"/>
          <w:bCs/>
          <w:color w:val="auto"/>
          <w:sz w:val="24"/>
          <w:szCs w:val="24"/>
          <w:highlight w:val="none"/>
        </w:rPr>
      </w:pPr>
    </w:p>
    <w:p w14:paraId="499C36F5">
      <w:pPr>
        <w:tabs>
          <w:tab w:val="left" w:pos="255"/>
        </w:tabs>
        <w:spacing w:line="360" w:lineRule="auto"/>
        <w:jc w:val="left"/>
        <w:rPr>
          <w:rFonts w:hint="eastAsia" w:ascii="黑体" w:hAnsi="宋体" w:eastAsia="黑体"/>
          <w:bCs/>
          <w:color w:val="auto"/>
          <w:sz w:val="24"/>
          <w:szCs w:val="24"/>
          <w:highlight w:val="none"/>
        </w:rPr>
      </w:pPr>
    </w:p>
    <w:p w14:paraId="354824D0">
      <w:pPr>
        <w:tabs>
          <w:tab w:val="left" w:pos="255"/>
        </w:tabs>
        <w:spacing w:line="360" w:lineRule="auto"/>
        <w:jc w:val="left"/>
        <w:rPr>
          <w:rFonts w:hint="eastAsia" w:ascii="黑体" w:hAnsi="宋体" w:eastAsia="黑体"/>
          <w:bCs/>
          <w:color w:val="auto"/>
          <w:sz w:val="24"/>
          <w:szCs w:val="24"/>
          <w:highlight w:val="none"/>
        </w:rPr>
      </w:pPr>
    </w:p>
    <w:p w14:paraId="459CB093">
      <w:pPr>
        <w:tabs>
          <w:tab w:val="left" w:pos="255"/>
        </w:tabs>
        <w:spacing w:line="360" w:lineRule="auto"/>
        <w:jc w:val="left"/>
        <w:rPr>
          <w:rFonts w:hint="eastAsia" w:ascii="黑体" w:hAnsi="宋体" w:eastAsia="黑体"/>
          <w:bCs/>
          <w:color w:val="auto"/>
          <w:sz w:val="24"/>
          <w:szCs w:val="24"/>
          <w:highlight w:val="none"/>
        </w:rPr>
      </w:pPr>
    </w:p>
    <w:p w14:paraId="7C0A165A">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br w:type="page"/>
      </w:r>
    </w:p>
    <w:p w14:paraId="20717058">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六</w:t>
      </w:r>
      <w:r>
        <w:rPr>
          <w:rFonts w:hint="eastAsia" w:ascii="黑体" w:hAnsi="宋体" w:eastAsia="黑体"/>
          <w:bCs/>
          <w:color w:val="auto"/>
          <w:sz w:val="24"/>
          <w:szCs w:val="24"/>
          <w:highlight w:val="none"/>
          <w:lang w:val="zh-CN"/>
        </w:rPr>
        <w:t>）招标文件“第三章 项目技术要求和有关说明”中要求提供的相关文件、证明材料等（如有自行添加）</w:t>
      </w:r>
    </w:p>
    <w:p w14:paraId="3DCFE01C">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七</w:t>
      </w:r>
      <w:r>
        <w:rPr>
          <w:rFonts w:hint="eastAsia" w:ascii="黑体" w:hAnsi="宋体" w:eastAsia="黑体"/>
          <w:bCs/>
          <w:color w:val="auto"/>
          <w:sz w:val="24"/>
          <w:szCs w:val="24"/>
          <w:highlight w:val="none"/>
          <w:lang w:val="zh-CN"/>
        </w:rPr>
        <w:t>）服务内容的详细说明及服务方案（格式自拟）：</w:t>
      </w:r>
    </w:p>
    <w:p w14:paraId="74E5B719">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八</w:t>
      </w:r>
      <w:r>
        <w:rPr>
          <w:rFonts w:hint="eastAsia" w:ascii="黑体" w:hAnsi="宋体" w:eastAsia="黑体"/>
          <w:bCs/>
          <w:color w:val="auto"/>
          <w:sz w:val="24"/>
          <w:szCs w:val="24"/>
          <w:highlight w:val="none"/>
        </w:rPr>
        <w:t>）要求采购人提供的配合（如有自拟并自行添加）</w:t>
      </w:r>
    </w:p>
    <w:p w14:paraId="551ACF0E">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九</w:t>
      </w:r>
      <w:r>
        <w:rPr>
          <w:rFonts w:hint="eastAsia" w:ascii="黑体" w:hAnsi="宋体" w:eastAsia="黑体"/>
          <w:bCs/>
          <w:color w:val="auto"/>
          <w:sz w:val="24"/>
          <w:szCs w:val="24"/>
          <w:highlight w:val="none"/>
        </w:rPr>
        <w:t>）其他（投标人认为有必要提供的声明和文件，如有自拟并自行添加）</w:t>
      </w:r>
    </w:p>
    <w:p w14:paraId="2C0593A0">
      <w:pPr>
        <w:rPr>
          <w:rFonts w:hint="eastAsia" w:ascii="黑体" w:hAnsi="宋体" w:eastAsia="黑体"/>
          <w:color w:val="auto"/>
          <w:sz w:val="32"/>
          <w:szCs w:val="32"/>
          <w:highlight w:val="none"/>
        </w:rPr>
      </w:pPr>
    </w:p>
    <w:p w14:paraId="5A80C6F0">
      <w:pPr>
        <w:rPr>
          <w:rFonts w:hint="eastAsia" w:ascii="黑体" w:hAnsi="宋体" w:eastAsia="黑体"/>
          <w:color w:val="auto"/>
          <w:sz w:val="32"/>
          <w:szCs w:val="32"/>
          <w:highlight w:val="none"/>
        </w:rPr>
      </w:pPr>
    </w:p>
    <w:p w14:paraId="163F2E4D">
      <w:pPr>
        <w:rPr>
          <w:color w:val="auto"/>
          <w:highlight w:val="none"/>
        </w:rPr>
      </w:pPr>
    </w:p>
    <w:sectPr>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04B6">
    <w:pPr>
      <w:pStyle w:val="4"/>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0E6F0">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E20E6F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A783">
    <w:pPr>
      <w:pStyle w:val="4"/>
      <w:framePr w:wrap="around" w:vAnchor="text" w:hAnchor="margin" w:xAlign="center" w:yAlign="top"/>
      <w:pBdr>
        <w:between w:val="none" w:color="auto" w:sz="0" w:space="0"/>
      </w:pBdr>
    </w:pPr>
    <w:r>
      <w:fldChar w:fldCharType="begin"/>
    </w:r>
    <w:r>
      <w:rPr>
        <w:rStyle w:val="12"/>
      </w:rPr>
      <w:instrText xml:space="preserve"> PAGE  </w:instrText>
    </w:r>
    <w:r>
      <w:fldChar w:fldCharType="separate"/>
    </w:r>
    <w:r>
      <w:rPr>
        <w:rStyle w:val="12"/>
      </w:rPr>
      <w:t>- 3 -</w:t>
    </w:r>
    <w:r>
      <w:fldChar w:fldCharType="end"/>
    </w:r>
  </w:p>
  <w:p w14:paraId="23EDB66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432CB">
    <w:pPr>
      <w:pStyle w:val="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82F730">
                          <w:pPr>
                            <w:pStyle w:val="4"/>
                          </w:pPr>
                          <w:r>
                            <w:fldChar w:fldCharType="begin"/>
                          </w:r>
                          <w:r>
                            <w:rPr>
                              <w:rStyle w:val="12"/>
                            </w:rPr>
                            <w:instrText xml:space="preserve"> PAGE  </w:instrText>
                          </w:r>
                          <w:r>
                            <w:fldChar w:fldCharType="separate"/>
                          </w:r>
                          <w:r>
                            <w:rPr>
                              <w:rStyle w:val="12"/>
                            </w:rP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282F730">
                    <w:pPr>
                      <w:pStyle w:val="4"/>
                    </w:pPr>
                    <w:r>
                      <w:fldChar w:fldCharType="begin"/>
                    </w:r>
                    <w:r>
                      <w:rPr>
                        <w:rStyle w:val="12"/>
                      </w:rPr>
                      <w:instrText xml:space="preserve"> PAGE  </w:instrText>
                    </w:r>
                    <w:r>
                      <w:fldChar w:fldCharType="separate"/>
                    </w:r>
                    <w:r>
                      <w:rPr>
                        <w:rStyle w:val="12"/>
                      </w:rP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6AA1">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EDC7">
    <w:pPr>
      <w:pStyle w:val="6"/>
      <w:rPr>
        <w:rFonts w:hint="eastAsia" w:eastAsia="华文新魏"/>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DA2E">
    <w:pPr>
      <w:pStyle w:val="6"/>
      <w:rPr>
        <w:rFonts w:hint="eastAsia"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
    <w:nsid w:val="23FA2401"/>
    <w:multiLevelType w:val="singleLevel"/>
    <w:tmpl w:val="23FA2401"/>
    <w:lvl w:ilvl="0" w:tentative="0">
      <w:start w:val="17"/>
      <w:numFmt w:val="decimal"/>
      <w:suff w:val="nothing"/>
      <w:lvlText w:val="%1、"/>
      <w:lvlJc w:val="left"/>
    </w:lvl>
  </w:abstractNum>
  <w:abstractNum w:abstractNumId="2">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4">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56ABC"/>
    <w:rsid w:val="000D06CA"/>
    <w:rsid w:val="00B256B8"/>
    <w:rsid w:val="0DC56ABC"/>
    <w:rsid w:val="16732871"/>
    <w:rsid w:val="1C6D44A3"/>
    <w:rsid w:val="1CF612E6"/>
    <w:rsid w:val="1F4A3A53"/>
    <w:rsid w:val="2035068E"/>
    <w:rsid w:val="34034468"/>
    <w:rsid w:val="347F2549"/>
    <w:rsid w:val="349E1425"/>
    <w:rsid w:val="3A1B5FB1"/>
    <w:rsid w:val="44B92D03"/>
    <w:rsid w:val="4B637095"/>
    <w:rsid w:val="558E5A4D"/>
    <w:rsid w:val="579B7E8D"/>
    <w:rsid w:val="58B91B10"/>
    <w:rsid w:val="5D1C0CB4"/>
    <w:rsid w:val="6205116D"/>
    <w:rsid w:val="6D5944B2"/>
    <w:rsid w:val="710249F5"/>
    <w:rsid w:val="76706D01"/>
    <w:rsid w:val="7672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index 4"/>
    <w:basedOn w:val="1"/>
    <w:next w:val="1"/>
    <w:unhideWhenUsed/>
    <w:qFormat/>
    <w:uiPriority w:val="0"/>
    <w:pPr>
      <w:ind w:left="600" w:leftChars="600"/>
    </w:p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TOC Heading1"/>
    <w:next w:val="1"/>
    <w:qFormat/>
    <w:uiPriority w:val="0"/>
    <w:pPr>
      <w:wordWrap w:val="0"/>
    </w:pPr>
    <w:rPr>
      <w:rFonts w:ascii="Times New Roman" w:hAnsi="Times New Roman" w:eastAsia="宋体" w:cs="Times New Roman"/>
      <w:sz w:val="3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able of figures"/>
    <w:basedOn w:val="1"/>
    <w:next w:val="1"/>
    <w:unhideWhenUsed/>
    <w:qFormat/>
    <w:uiPriority w:val="99"/>
    <w:pPr>
      <w:ind w:left="200" w:leftChars="200" w:hanging="200" w:hanging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FollowedHyperlink"/>
    <w:qFormat/>
    <w:uiPriority w:val="0"/>
    <w:rPr>
      <w:color w:val="auto"/>
      <w:u w:val="none"/>
    </w:rPr>
  </w:style>
  <w:style w:type="paragraph" w:customStyle="1" w:styleId="14">
    <w:name w:val="普通文字"/>
    <w:basedOn w:val="1"/>
    <w:next w:val="1"/>
    <w:qFormat/>
    <w:uiPriority w:val="0"/>
    <w:rPr>
      <w:rFonts w:ascii="宋体"/>
      <w:kern w:val="0"/>
      <w:sz w:val="24"/>
      <w:u w:val="none" w:color="000000"/>
    </w:rPr>
  </w:style>
  <w:style w:type="paragraph" w:customStyle="1" w:styleId="15">
    <w:name w:val="首行缩进"/>
    <w:basedOn w:val="1"/>
    <w:qFormat/>
    <w:uiPriority w:val="0"/>
    <w:pPr>
      <w:ind w:firstLine="480"/>
      <w:jc w:val="left"/>
    </w:pPr>
    <w:rPr>
      <w:rFonts w:ascii="宋体" w:hAnsi="宋体" w:cs="Calibri"/>
      <w:szCs w:val="21"/>
    </w:rPr>
  </w:style>
  <w:style w:type="paragraph" w:customStyle="1" w:styleId="16">
    <w:name w:val="正文1"/>
    <w:next w:val="1"/>
    <w:qFormat/>
    <w:uiPriority w:val="0"/>
    <w:pPr>
      <w:widowControl w:val="0"/>
      <w:jc w:val="both"/>
    </w:pPr>
    <w:rPr>
      <w:rFonts w:ascii="Times New Roman" w:hAnsi="Times New Roman" w:eastAsia="宋体" w:cs="Times New Roman"/>
      <w:szCs w:val="24"/>
      <w:lang w:val="en-US" w:eastAsia="zh-CN" w:bidi="ar-SA"/>
    </w:rPr>
  </w:style>
  <w:style w:type="character" w:customStyle="1" w:styleId="17">
    <w:name w:val="NormalCharacter"/>
    <w:qFormat/>
    <w:uiPriority w:val="0"/>
    <w:rPr>
      <w:kern w:val="2"/>
      <w:sz w:val="21"/>
      <w:lang w:val="en-US" w:eastAsia="zh-CN" w:bidi="ar-SA"/>
    </w:rPr>
  </w:style>
  <w:style w:type="paragraph" w:customStyle="1" w:styleId="18">
    <w:name w:val="正文缩进1"/>
    <w:basedOn w:val="1"/>
    <w:qFormat/>
    <w:uiPriority w:val="0"/>
    <w:pPr>
      <w:autoSpaceDE w:val="0"/>
      <w:autoSpaceDN w:val="0"/>
      <w:adjustRightInd w:val="0"/>
      <w:ind w:firstLine="420"/>
      <w:jc w:val="left"/>
    </w:pPr>
    <w:rPr>
      <w:rFonts w:ascii="宋体"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19965</Words>
  <Characters>21029</Characters>
  <Lines>0</Lines>
  <Paragraphs>0</Paragraphs>
  <TotalTime>0</TotalTime>
  <ScaleCrop>false</ScaleCrop>
  <LinksUpToDate>false</LinksUpToDate>
  <CharactersWithSpaces>22250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2025-08-15T08:21:00Z</dcterms:created>
  <dc:creator>12149</dc:creator>
  <cp:lastModifiedBy>刘祥</cp:lastModifiedBy>
  <dcterms:modified xsi:type="dcterms:W3CDTF">2025-10-16T06:26:37Z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BC5324B2A956441CA65A41C8B279EEE4_11</vt:lpwstr>
  </property>
  <property fmtid="{D5CDD505-2E9C-101B-9397-08002B2CF9AE}" pid="4" name="KSOTemplateDocerSaveRecord">
    <vt:lpwstr>eyJoZGlkIjoiMWM4MmVkOTA1MjFjYzMwZWNmZGFhODliZDBjZWU4YWMiLCJ1c2VySWQiOiIyODk0MTc0MTIifQ==</vt:lpwstr>
  </property>
</Properties>
</file>