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A6173">
      <w:pPr>
        <w:jc w:val="center"/>
        <w:rPr>
          <w:rFonts w:hint="default" w:ascii="宋体" w:hAnsi="宋体"/>
          <w:b/>
          <w:bCs/>
          <w:color w:val="auto"/>
          <w:sz w:val="160"/>
          <w:szCs w:val="32"/>
          <w:highlight w:val="none"/>
          <w:lang w:val="en-US"/>
        </w:rPr>
      </w:pPr>
      <w:r>
        <w:rPr>
          <w:rFonts w:hint="eastAsia" w:ascii="宋体" w:hAnsi="宋体" w:cs="Times New Roman"/>
          <w:b/>
          <w:bCs/>
          <w:color w:val="auto"/>
          <w:sz w:val="52"/>
          <w:szCs w:val="32"/>
          <w:highlight w:val="none"/>
          <w:lang w:eastAsia="zh-CN"/>
        </w:rPr>
        <w:t>太湖内源污染治理(太湖西岸宜兴近岸区域)一期工程临时用地组卷报批服务项目</w:t>
      </w:r>
      <w:r>
        <w:rPr>
          <w:rFonts w:hint="eastAsia" w:ascii="宋体" w:hAnsi="宋体" w:cs="Times New Roman"/>
          <w:b/>
          <w:bCs/>
          <w:color w:val="auto"/>
          <w:sz w:val="52"/>
          <w:szCs w:val="32"/>
          <w:highlight w:val="none"/>
          <w:lang w:val="en-US" w:eastAsia="zh-CN"/>
        </w:rPr>
        <w:t>采购</w:t>
      </w:r>
    </w:p>
    <w:p w14:paraId="2F3BAABA">
      <w:pPr>
        <w:jc w:val="center"/>
        <w:rPr>
          <w:rFonts w:hint="eastAsia" w:ascii="宋体" w:hAnsi="宋体"/>
          <w:b/>
          <w:bCs/>
          <w:color w:val="auto"/>
          <w:sz w:val="32"/>
          <w:szCs w:val="32"/>
          <w:highlight w:val="none"/>
        </w:rPr>
      </w:pPr>
    </w:p>
    <w:p w14:paraId="2A47118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2AA23C0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2C8BB4C4">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110A6C16">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634A3ED1">
      <w:pPr>
        <w:rPr>
          <w:rFonts w:hint="eastAsia" w:ascii="宋体" w:hAnsi="宋体"/>
          <w:b/>
          <w:bCs/>
          <w:color w:val="auto"/>
          <w:sz w:val="28"/>
          <w:szCs w:val="28"/>
          <w:highlight w:val="none"/>
        </w:rPr>
      </w:pPr>
    </w:p>
    <w:p w14:paraId="2F8E8AE7">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：YXGYJT202508019</w:t>
      </w:r>
    </w:p>
    <w:p w14:paraId="77D3DF6B">
      <w:pPr>
        <w:jc w:val="center"/>
        <w:rPr>
          <w:rFonts w:hint="eastAsia" w:ascii="宋体" w:hAnsi="宋体" w:eastAsia="宋体"/>
          <w:color w:val="auto"/>
          <w:sz w:val="32"/>
          <w:highlight w:val="none"/>
          <w:lang w:eastAsia="zh-CN"/>
        </w:rPr>
      </w:pPr>
      <w:r>
        <w:rPr>
          <w:rFonts w:hint="eastAsia" w:ascii="宋体" w:hAnsi="宋体"/>
          <w:color w:val="auto"/>
          <w:sz w:val="32"/>
          <w:highlight w:val="none"/>
          <w:lang w:eastAsia="zh-CN"/>
        </w:rPr>
        <w:t>招标人</w:t>
      </w:r>
      <w:r>
        <w:rPr>
          <w:rFonts w:hint="eastAsia" w:ascii="宋体" w:hAnsi="宋体"/>
          <w:color w:val="auto"/>
          <w:sz w:val="32"/>
          <w:highlight w:val="none"/>
        </w:rPr>
        <w:t>：</w:t>
      </w:r>
      <w:r>
        <w:rPr>
          <w:rFonts w:hint="eastAsia" w:ascii="宋体" w:hAnsi="宋体"/>
          <w:color w:val="auto"/>
          <w:sz w:val="32"/>
          <w:highlight w:val="none"/>
          <w:lang w:eastAsia="zh-CN"/>
        </w:rPr>
        <w:t>宜兴市公用市政工程有限公司</w:t>
      </w:r>
    </w:p>
    <w:p w14:paraId="6044A9A2">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太湖内源污染治理(太湖西岸宜兴近岸区域)一期工程临时用地组卷报批服务项目</w:t>
      </w:r>
    </w:p>
    <w:p w14:paraId="79F8A478">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采购代理机构：</w:t>
      </w:r>
      <w:r>
        <w:rPr>
          <w:rFonts w:hint="eastAsia" w:ascii="宋体" w:hAnsi="宋体"/>
          <w:color w:val="auto"/>
          <w:sz w:val="32"/>
          <w:highlight w:val="none"/>
          <w:lang w:eastAsia="zh-CN"/>
        </w:rPr>
        <w:t>江苏鸿成工程项目管理有限公司</w:t>
      </w:r>
    </w:p>
    <w:p w14:paraId="6D3B2206">
      <w:pPr>
        <w:jc w:val="both"/>
        <w:rPr>
          <w:rFonts w:hint="eastAsia" w:ascii="宋体" w:hAnsi="宋体"/>
          <w:color w:val="auto"/>
          <w:sz w:val="32"/>
          <w:highlight w:val="yellow"/>
        </w:rPr>
      </w:pPr>
    </w:p>
    <w:p w14:paraId="5DAC60F8">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八</w:t>
      </w:r>
      <w:r>
        <w:rPr>
          <w:rFonts w:hint="eastAsia" w:ascii="宋体" w:hAnsi="宋体"/>
          <w:color w:val="auto"/>
          <w:sz w:val="32"/>
          <w:highlight w:val="none"/>
        </w:rPr>
        <w:t>月</w:t>
      </w:r>
    </w:p>
    <w:p w14:paraId="3F2E83F3">
      <w:pPr>
        <w:rPr>
          <w:rStyle w:val="22"/>
          <w:rFonts w:eastAsia="黑体"/>
          <w:bCs/>
          <w:color w:val="auto"/>
          <w:sz w:val="48"/>
          <w:highlight w:val="none"/>
        </w:rPr>
        <w:sectPr>
          <w:footerReference r:id="rId4" w:type="first"/>
          <w:footerReference r:id="rId3" w:type="default"/>
          <w:pgSz w:w="11906" w:h="16838"/>
          <w:pgMar w:top="1417" w:right="1701" w:bottom="1417" w:left="1701" w:header="851" w:footer="992" w:gutter="0"/>
          <w:pgNumType w:fmt="decimal"/>
          <w:cols w:space="720" w:num="1"/>
          <w:rtlGutter w:val="0"/>
          <w:docGrid w:type="lines" w:linePitch="312" w:charSpace="0"/>
        </w:sectPr>
      </w:pPr>
    </w:p>
    <w:p w14:paraId="2851C9B4">
      <w:pPr>
        <w:jc w:val="center"/>
        <w:rPr>
          <w:rStyle w:val="22"/>
          <w:rFonts w:eastAsia="黑体"/>
          <w:bCs/>
          <w:color w:val="auto"/>
          <w:sz w:val="48"/>
          <w:highlight w:val="none"/>
        </w:rPr>
      </w:pPr>
      <w:r>
        <w:rPr>
          <w:rStyle w:val="22"/>
          <w:rFonts w:hint="eastAsia" w:eastAsia="黑体"/>
          <w:bCs/>
          <w:color w:val="auto"/>
          <w:sz w:val="48"/>
          <w:highlight w:val="none"/>
        </w:rPr>
        <w:t>目     录</w:t>
      </w:r>
    </w:p>
    <w:p w14:paraId="133476A7">
      <w:pPr>
        <w:jc w:val="center"/>
        <w:rPr>
          <w:rFonts w:ascii="黑体" w:eastAsia="黑体"/>
          <w:bCs/>
          <w:color w:val="auto"/>
          <w:sz w:val="30"/>
          <w:highlight w:val="none"/>
        </w:rPr>
      </w:pPr>
    </w:p>
    <w:p w14:paraId="472D61FF">
      <w:pPr>
        <w:jc w:val="center"/>
        <w:rPr>
          <w:rFonts w:ascii="黑体" w:eastAsia="黑体"/>
          <w:bCs/>
          <w:color w:val="auto"/>
          <w:sz w:val="30"/>
          <w:highlight w:val="none"/>
        </w:rPr>
      </w:pPr>
    </w:p>
    <w:p w14:paraId="5C906CDC">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第一章 投标邀请函</w:t>
      </w:r>
      <w:r>
        <w:rPr>
          <w:rFonts w:hint="eastAsia" w:ascii="黑体" w:hAnsi="黑体" w:eastAsia="黑体"/>
          <w:color w:val="auto"/>
          <w:sz w:val="32"/>
          <w:highlight w:val="none"/>
        </w:rPr>
        <w:tab/>
      </w:r>
      <w:r>
        <w:rPr>
          <w:rFonts w:hint="eastAsia" w:ascii="黑体" w:hAnsi="黑体" w:eastAsia="黑体"/>
          <w:color w:val="auto"/>
          <w:sz w:val="32"/>
          <w:highlight w:val="none"/>
        </w:rPr>
        <w:t>- 2 -</w:t>
      </w:r>
    </w:p>
    <w:p w14:paraId="62AD482E">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r>
        <w:rPr>
          <w:rFonts w:hint="eastAsia" w:ascii="黑体" w:hAnsi="黑体" w:eastAsia="黑体"/>
          <w:color w:val="auto"/>
          <w:sz w:val="32"/>
          <w:highlight w:val="none"/>
        </w:rPr>
        <w:tab/>
      </w:r>
      <w:r>
        <w:rPr>
          <w:rFonts w:hint="eastAsia" w:ascii="黑体" w:hAnsi="黑体" w:eastAsia="黑体"/>
          <w:color w:val="auto"/>
          <w:sz w:val="32"/>
          <w:highlight w:val="none"/>
        </w:rPr>
        <w:t>- 4 -</w:t>
      </w:r>
    </w:p>
    <w:p w14:paraId="56B2A6AC">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r>
        <w:rPr>
          <w:rFonts w:hint="eastAsia" w:ascii="黑体" w:hAnsi="黑体" w:eastAsia="黑体"/>
          <w:color w:val="auto"/>
          <w:sz w:val="32"/>
          <w:highlight w:val="none"/>
        </w:rPr>
        <w:tab/>
      </w:r>
      <w:r>
        <w:rPr>
          <w:rFonts w:hint="eastAsia" w:ascii="黑体" w:hAnsi="黑体" w:eastAsia="黑体"/>
          <w:color w:val="auto"/>
          <w:sz w:val="32"/>
          <w:highlight w:val="none"/>
        </w:rPr>
        <w:t>- 1</w:t>
      </w:r>
      <w:r>
        <w:rPr>
          <w:rFonts w:hint="eastAsia" w:ascii="黑体" w:hAnsi="黑体" w:eastAsia="黑体"/>
          <w:color w:val="auto"/>
          <w:sz w:val="32"/>
          <w:highlight w:val="none"/>
          <w:lang w:val="en-US" w:eastAsia="zh-CN"/>
        </w:rPr>
        <w:t>5</w:t>
      </w:r>
      <w:r>
        <w:rPr>
          <w:rFonts w:hint="eastAsia" w:ascii="黑体" w:hAnsi="黑体" w:eastAsia="黑体"/>
          <w:color w:val="auto"/>
          <w:sz w:val="32"/>
          <w:highlight w:val="none"/>
        </w:rPr>
        <w:t xml:space="preserve"> -</w:t>
      </w:r>
    </w:p>
    <w:p w14:paraId="365FF18A">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r>
        <w:rPr>
          <w:rFonts w:hint="eastAsia" w:ascii="黑体" w:hAnsi="黑体" w:eastAsia="黑体"/>
          <w:color w:val="auto"/>
          <w:sz w:val="32"/>
          <w:highlight w:val="none"/>
        </w:rPr>
        <w:tab/>
      </w:r>
      <w:r>
        <w:rPr>
          <w:rFonts w:hint="eastAsia" w:ascii="黑体" w:hAnsi="黑体" w:eastAsia="黑体"/>
          <w:color w:val="auto"/>
          <w:sz w:val="32"/>
          <w:highlight w:val="none"/>
        </w:rPr>
        <w:t xml:space="preserve">- </w:t>
      </w:r>
      <w:r>
        <w:rPr>
          <w:rFonts w:hint="eastAsia" w:ascii="黑体" w:hAnsi="黑体" w:eastAsia="黑体"/>
          <w:color w:val="auto"/>
          <w:sz w:val="32"/>
          <w:highlight w:val="none"/>
          <w:lang w:val="en-US" w:eastAsia="zh-CN"/>
        </w:rPr>
        <w:t>16</w:t>
      </w:r>
      <w:r>
        <w:rPr>
          <w:rFonts w:hint="eastAsia" w:ascii="黑体" w:hAnsi="黑体" w:eastAsia="黑体"/>
          <w:color w:val="auto"/>
          <w:sz w:val="32"/>
          <w:highlight w:val="none"/>
        </w:rPr>
        <w:t xml:space="preserve"> -</w:t>
      </w:r>
    </w:p>
    <w:p w14:paraId="3BCD886C">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w:t>
      </w:r>
      <w:r>
        <w:rPr>
          <w:rFonts w:hint="eastAsia" w:ascii="黑体" w:hAnsi="黑体" w:eastAsia="黑体"/>
          <w:color w:val="auto"/>
          <w:sz w:val="32"/>
          <w:highlight w:val="none"/>
          <w:lang w:val="en-US" w:eastAsia="zh-CN"/>
        </w:rPr>
        <w:t xml:space="preserve"> </w:t>
      </w:r>
      <w:r>
        <w:rPr>
          <w:rFonts w:hint="eastAsia" w:ascii="黑体" w:hAnsi="黑体" w:eastAsia="黑体"/>
          <w:color w:val="auto"/>
          <w:sz w:val="32"/>
          <w:highlight w:val="none"/>
        </w:rPr>
        <w:t>合同书（格式文本）</w:t>
      </w:r>
      <w:r>
        <w:rPr>
          <w:rFonts w:hint="eastAsia" w:ascii="黑体" w:hAnsi="黑体" w:eastAsia="黑体"/>
          <w:color w:val="auto"/>
          <w:sz w:val="32"/>
          <w:highlight w:val="none"/>
        </w:rPr>
        <w:tab/>
      </w:r>
      <w:r>
        <w:rPr>
          <w:rFonts w:hint="eastAsia" w:ascii="黑体" w:hAnsi="黑体" w:eastAsia="黑体"/>
          <w:color w:val="auto"/>
          <w:sz w:val="32"/>
          <w:highlight w:val="none"/>
        </w:rPr>
        <w:t xml:space="preserve">- </w:t>
      </w:r>
      <w:r>
        <w:rPr>
          <w:rFonts w:hint="eastAsia" w:ascii="黑体" w:hAnsi="黑体" w:eastAsia="黑体"/>
          <w:color w:val="auto"/>
          <w:sz w:val="32"/>
          <w:highlight w:val="none"/>
          <w:lang w:val="en-US" w:eastAsia="zh-CN"/>
        </w:rPr>
        <w:t>19</w:t>
      </w:r>
      <w:r>
        <w:rPr>
          <w:rFonts w:hint="eastAsia" w:ascii="黑体" w:hAnsi="黑体" w:eastAsia="黑体"/>
          <w:color w:val="auto"/>
          <w:sz w:val="32"/>
          <w:highlight w:val="none"/>
        </w:rPr>
        <w:t xml:space="preserve"> -</w:t>
      </w:r>
    </w:p>
    <w:p w14:paraId="3CBFF1EC">
      <w:pPr>
        <w:pStyle w:val="13"/>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tab/>
      </w:r>
      <w:r>
        <w:rPr>
          <w:rFonts w:hint="eastAsia" w:ascii="黑体" w:hAnsi="黑体" w:eastAsia="黑体"/>
          <w:color w:val="auto"/>
          <w:sz w:val="32"/>
          <w:highlight w:val="none"/>
        </w:rPr>
        <w:t xml:space="preserve">- </w:t>
      </w:r>
      <w:r>
        <w:rPr>
          <w:rFonts w:hint="eastAsia" w:ascii="黑体" w:hAnsi="黑体" w:eastAsia="黑体"/>
          <w:color w:val="auto"/>
          <w:sz w:val="32"/>
          <w:highlight w:val="none"/>
          <w:lang w:val="en-US" w:eastAsia="zh-CN"/>
        </w:rPr>
        <w:t>2</w:t>
      </w:r>
      <w:r>
        <w:rPr>
          <w:rFonts w:hint="eastAsia" w:ascii="黑体" w:hAnsi="黑体" w:eastAsia="黑体"/>
          <w:color w:val="auto"/>
          <w:sz w:val="32"/>
          <w:highlight w:val="none"/>
        </w:rPr>
        <w:t>3 -</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6F5349A0">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5EF71526">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0298643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太湖内源污染治理(太湖西岸宜兴近岸区域)一期工程临时用地组卷报批服务项目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欢迎你单位参加投标并请注意下列附表中的相关事项：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2385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0192AF7C">
            <w:pPr>
              <w:snapToGrid w:val="0"/>
              <w:spacing w:line="400" w:lineRule="exact"/>
              <w:jc w:val="center"/>
              <w:rPr>
                <w:rFonts w:ascii="宋体" w:hAnsi="宋体"/>
                <w:bCs/>
                <w:color w:val="auto"/>
                <w:sz w:val="24"/>
                <w:szCs w:val="24"/>
                <w:highlight w:val="none"/>
              </w:rPr>
            </w:pPr>
            <w:bookmarkStart w:id="2" w:name="_Toc29543"/>
            <w:bookmarkStart w:id="3" w:name="_Toc11477"/>
            <w:r>
              <w:rPr>
                <w:rFonts w:hint="eastAsia" w:ascii="宋体" w:hAnsi="宋体"/>
                <w:bCs/>
                <w:color w:val="auto"/>
                <w:sz w:val="24"/>
                <w:szCs w:val="24"/>
                <w:highlight w:val="none"/>
              </w:rPr>
              <w:t>序号</w:t>
            </w:r>
          </w:p>
        </w:tc>
        <w:tc>
          <w:tcPr>
            <w:tcW w:w="8198" w:type="dxa"/>
            <w:gridSpan w:val="4"/>
            <w:noWrap w:val="0"/>
            <w:vAlign w:val="top"/>
          </w:tcPr>
          <w:p w14:paraId="3526437A">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AF5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733" w:type="dxa"/>
            <w:noWrap w:val="0"/>
            <w:vAlign w:val="center"/>
          </w:tcPr>
          <w:p w14:paraId="251908F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53848A4D">
            <w:pPr>
              <w:snapToGrid w:val="0"/>
              <w:spacing w:line="400" w:lineRule="exact"/>
              <w:jc w:val="left"/>
              <w:rPr>
                <w:rFonts w:hint="eastAsia" w:ascii="宋体" w:hAnsi="宋体"/>
                <w:bCs/>
                <w:color w:val="auto"/>
                <w:sz w:val="24"/>
                <w:szCs w:val="24"/>
                <w:highlight w:val="none"/>
                <w:lang w:eastAsia="zh-CN"/>
              </w:rPr>
            </w:pPr>
            <w:bookmarkStart w:id="4" w:name="OLE_LINK192"/>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宜兴市公用市政工程有限公司</w:t>
            </w:r>
          </w:p>
          <w:p w14:paraId="6E71C06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：YXGYJT202508019</w:t>
            </w:r>
            <w:r>
              <w:rPr>
                <w:rFonts w:hint="eastAsia" w:ascii="宋体" w:hAnsi="宋体"/>
                <w:bCs/>
                <w:color w:val="auto"/>
                <w:sz w:val="24"/>
                <w:szCs w:val="24"/>
                <w:highlight w:val="none"/>
              </w:rPr>
              <w:t xml:space="preserve">   </w:t>
            </w:r>
          </w:p>
          <w:p w14:paraId="405A03C4">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szCs w:val="24"/>
                <w:highlight w:val="none"/>
              </w:rPr>
              <w:t xml:space="preserve">            </w:t>
            </w:r>
          </w:p>
          <w:p w14:paraId="288CA371">
            <w:pPr>
              <w:snapToGrid w:val="0"/>
              <w:spacing w:line="400" w:lineRule="exact"/>
              <w:jc w:val="left"/>
              <w:rPr>
                <w:rFonts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val="en-US" w:eastAsia="zh-CN"/>
              </w:rPr>
              <w:t>太湖内源污染治理(太湖西岸宜兴近岸区域)一期工程临时用地组卷报批服务项目</w:t>
            </w:r>
            <w:r>
              <w:rPr>
                <w:rFonts w:ascii="宋体" w:hAnsi="宋体"/>
                <w:bCs/>
                <w:color w:val="auto"/>
                <w:sz w:val="24"/>
                <w:szCs w:val="24"/>
                <w:highlight w:val="none"/>
              </w:rPr>
              <w:t xml:space="preserve">  </w:t>
            </w:r>
          </w:p>
          <w:p w14:paraId="09E63DC4">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bCs/>
                <w:color w:val="auto"/>
                <w:sz w:val="24"/>
                <w:szCs w:val="24"/>
                <w:highlight w:val="none"/>
                <w:lang w:val="en-US" w:eastAsia="zh-CN"/>
              </w:rPr>
              <w:t>集团网站</w:t>
            </w:r>
            <w:r>
              <w:rPr>
                <w:rFonts w:hint="eastAsia" w:ascii="宋体" w:hAnsi="宋体"/>
                <w:bCs/>
                <w:color w:val="auto"/>
                <w:sz w:val="24"/>
                <w:szCs w:val="24"/>
                <w:highlight w:val="none"/>
              </w:rPr>
              <w:t xml:space="preserve">公开招标（代理）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28FB05B4">
            <w:pPr>
              <w:snapToGrid w:val="0"/>
              <w:spacing w:line="400" w:lineRule="exact"/>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评标方法：</w:t>
            </w:r>
            <w:r>
              <w:rPr>
                <w:rFonts w:hint="eastAsia" w:ascii="宋体" w:hAnsi="宋体"/>
                <w:bCs/>
                <w:color w:val="auto"/>
                <w:sz w:val="24"/>
                <w:szCs w:val="24"/>
                <w:highlight w:val="none"/>
                <w:lang w:val="en-US" w:eastAsia="zh-CN"/>
              </w:rPr>
              <w:t>综合评分</w:t>
            </w:r>
            <w:r>
              <w:rPr>
                <w:rFonts w:hint="eastAsia" w:ascii="宋体" w:hAnsi="宋体"/>
                <w:bCs/>
                <w:color w:val="auto"/>
                <w:sz w:val="24"/>
                <w:szCs w:val="24"/>
                <w:highlight w:val="none"/>
                <w:lang w:eastAsia="zh-CN"/>
              </w:rPr>
              <w:t>法</w:t>
            </w:r>
          </w:p>
          <w:bookmarkEnd w:id="4"/>
          <w:p w14:paraId="7F9218F6">
            <w:pPr>
              <w:keepNext w:val="0"/>
              <w:keepLines w:val="0"/>
              <w:widowControl w:val="0"/>
              <w:suppressLineNumbers w:val="0"/>
              <w:spacing w:before="0" w:beforeAutospacing="0" w:after="0" w:afterAutospacing="0"/>
              <w:ind w:left="0" w:right="0"/>
              <w:jc w:val="both"/>
              <w:rPr>
                <w:rFonts w:ascii="宋体" w:hAnsi="宋体"/>
                <w:bCs/>
                <w:color w:val="auto"/>
                <w:sz w:val="24"/>
                <w:szCs w:val="24"/>
                <w:highlight w:val="none"/>
              </w:rPr>
            </w:pPr>
            <w:r>
              <w:rPr>
                <w:rFonts w:ascii="宋体" w:hAnsi="宋体"/>
                <w:bCs/>
                <w:color w:val="auto"/>
                <w:sz w:val="24"/>
                <w:szCs w:val="24"/>
                <w:highlight w:val="none"/>
              </w:rPr>
              <w:t>本项目预算</w:t>
            </w:r>
            <w:r>
              <w:rPr>
                <w:rFonts w:hint="eastAsia" w:ascii="宋体" w:hAnsi="宋体"/>
                <w:bCs/>
                <w:color w:val="auto"/>
                <w:sz w:val="24"/>
                <w:szCs w:val="24"/>
                <w:highlight w:val="none"/>
                <w:lang w:val="en-US" w:eastAsia="zh-CN"/>
              </w:rPr>
              <w:t>及最高限价</w:t>
            </w:r>
            <w:r>
              <w:rPr>
                <w:rFonts w:ascii="宋体" w:hAnsi="宋体"/>
                <w:bCs/>
                <w:color w:val="auto"/>
                <w:sz w:val="24"/>
                <w:szCs w:val="24"/>
                <w:highlight w:val="none"/>
              </w:rPr>
              <w:t>为：</w:t>
            </w:r>
            <w:r>
              <w:rPr>
                <w:rFonts w:hint="eastAsia" w:ascii="宋体" w:hAnsi="宋体" w:cs="宋体"/>
                <w:bCs/>
                <w:color w:val="auto"/>
                <w:kern w:val="2"/>
                <w:sz w:val="24"/>
                <w:szCs w:val="24"/>
                <w:highlight w:val="none"/>
                <w:lang w:val="en-US" w:eastAsia="zh-CN" w:bidi="ar"/>
              </w:rPr>
              <w:t>30万元</w:t>
            </w:r>
          </w:p>
        </w:tc>
      </w:tr>
      <w:tr w14:paraId="33F9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0C0F1BCA">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7153AE67">
            <w:pPr>
              <w:pStyle w:val="24"/>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3ECA9AF1">
            <w:pPr>
              <w:pStyle w:val="24"/>
              <w:snapToGrid w:val="0"/>
              <w:spacing w:line="400" w:lineRule="exact"/>
              <w:rPr>
                <w:rFonts w:hint="eastAsia"/>
                <w:color w:val="auto"/>
                <w:szCs w:val="22"/>
                <w:highlight w:val="none"/>
                <w:lang w:val="zh-CN"/>
              </w:rPr>
            </w:pPr>
            <w:r>
              <w:rPr>
                <w:rFonts w:hint="eastAsia"/>
                <w:color w:val="auto"/>
                <w:szCs w:val="22"/>
                <w:highlight w:val="none"/>
                <w:lang w:val="zh-CN"/>
              </w:rPr>
              <w:t>2.1投标人参加本次采购活动应具备下列资格条件：</w:t>
            </w:r>
          </w:p>
          <w:p w14:paraId="0FFD27F6">
            <w:pPr>
              <w:pStyle w:val="24"/>
              <w:spacing w:line="276" w:lineRule="auto"/>
              <w:rPr>
                <w:rFonts w:hint="eastAsia"/>
                <w:color w:val="auto"/>
                <w:highlight w:val="none"/>
                <w:lang w:val="zh-CN"/>
              </w:rPr>
            </w:pPr>
            <w:r>
              <w:rPr>
                <w:rFonts w:hint="eastAsia"/>
                <w:color w:val="auto"/>
                <w:highlight w:val="none"/>
                <w:lang w:val="zh-CN"/>
              </w:rPr>
              <w:t>①具有独立承担民事责任的能力，具有履行本次招标服务的能力；</w:t>
            </w:r>
          </w:p>
          <w:p w14:paraId="1C1D954F">
            <w:pPr>
              <w:pStyle w:val="24"/>
              <w:spacing w:line="276" w:lineRule="auto"/>
              <w:rPr>
                <w:rFonts w:hint="eastAsia"/>
                <w:color w:val="auto"/>
                <w:highlight w:val="none"/>
                <w:lang w:val="zh-CN"/>
              </w:rPr>
            </w:pPr>
            <w:r>
              <w:rPr>
                <w:rFonts w:hint="eastAsia"/>
                <w:color w:val="auto"/>
                <w:highlight w:val="none"/>
                <w:lang w:val="zh-CN"/>
              </w:rPr>
              <w:t>②</w:t>
            </w:r>
            <w:r>
              <w:rPr>
                <w:rFonts w:hint="eastAsia"/>
                <w:color w:val="auto"/>
                <w:highlight w:val="none"/>
                <w:lang w:val="en-US" w:eastAsia="zh-CN"/>
              </w:rPr>
              <w:t>具</w:t>
            </w:r>
            <w:r>
              <w:rPr>
                <w:rFonts w:hint="eastAsia"/>
                <w:color w:val="auto"/>
                <w:highlight w:val="none"/>
                <w:lang w:val="zh-CN"/>
              </w:rPr>
              <w:t>有良好的商业信誉和健全的财务会计制度；</w:t>
            </w:r>
          </w:p>
          <w:p w14:paraId="6CAC4657">
            <w:pPr>
              <w:pStyle w:val="24"/>
              <w:spacing w:line="276" w:lineRule="auto"/>
              <w:rPr>
                <w:rFonts w:hint="eastAsia"/>
                <w:color w:val="auto"/>
                <w:highlight w:val="none"/>
                <w:lang w:val="zh-CN"/>
              </w:rPr>
            </w:pPr>
            <w:r>
              <w:rPr>
                <w:rFonts w:hint="eastAsia"/>
                <w:color w:val="auto"/>
                <w:highlight w:val="none"/>
                <w:lang w:val="zh-CN"/>
              </w:rPr>
              <w:t>③</w:t>
            </w:r>
            <w:r>
              <w:rPr>
                <w:rFonts w:hint="eastAsia"/>
                <w:color w:val="auto"/>
                <w:highlight w:val="none"/>
                <w:lang w:val="en-US" w:eastAsia="zh-CN"/>
              </w:rPr>
              <w:t>具</w:t>
            </w:r>
            <w:r>
              <w:rPr>
                <w:rFonts w:hint="eastAsia"/>
                <w:color w:val="auto"/>
                <w:highlight w:val="none"/>
                <w:lang w:val="zh-CN"/>
              </w:rPr>
              <w:t>有依法缴纳税收和社会保障资金的良好记录；</w:t>
            </w:r>
          </w:p>
          <w:p w14:paraId="053A24E5">
            <w:pPr>
              <w:pStyle w:val="24"/>
              <w:spacing w:line="276" w:lineRule="auto"/>
              <w:rPr>
                <w:rFonts w:hint="eastAsia"/>
                <w:color w:val="auto"/>
                <w:highlight w:val="none"/>
                <w:lang w:val="zh-CN"/>
              </w:rPr>
            </w:pPr>
            <w:r>
              <w:rPr>
                <w:rFonts w:hint="eastAsia"/>
                <w:color w:val="auto"/>
                <w:highlight w:val="none"/>
                <w:lang w:val="zh-CN"/>
              </w:rPr>
              <w:t>④具有履行合同所必需的设备和专业技术能力；</w:t>
            </w:r>
          </w:p>
          <w:p w14:paraId="0D11C03C">
            <w:pPr>
              <w:pStyle w:val="24"/>
              <w:spacing w:line="276" w:lineRule="auto"/>
              <w:rPr>
                <w:rFonts w:hint="eastAsia"/>
                <w:color w:val="auto"/>
                <w:highlight w:val="none"/>
                <w:lang w:val="zh-CN" w:eastAsia="zh-CN"/>
              </w:rPr>
            </w:pPr>
            <w:r>
              <w:rPr>
                <w:rFonts w:hint="eastAsia"/>
                <w:color w:val="auto"/>
                <w:highlight w:val="none"/>
                <w:lang w:val="zh-CN" w:eastAsia="zh-CN"/>
              </w:rPr>
              <w:t>⑤不接受联合体，</w:t>
            </w:r>
            <w:r>
              <w:rPr>
                <w:rFonts w:hint="eastAsia"/>
                <w:color w:val="auto"/>
                <w:highlight w:val="none"/>
                <w:lang w:val="en-US" w:eastAsia="zh-CN"/>
              </w:rPr>
              <w:t>不</w:t>
            </w:r>
            <w:r>
              <w:rPr>
                <w:rFonts w:hint="eastAsia"/>
                <w:color w:val="auto"/>
                <w:highlight w:val="none"/>
                <w:lang w:val="zh-CN" w:eastAsia="zh-CN"/>
              </w:rPr>
              <w:t>接受中标后分包；</w:t>
            </w:r>
          </w:p>
          <w:p w14:paraId="26D64757">
            <w:pPr>
              <w:pStyle w:val="24"/>
              <w:spacing w:line="276" w:lineRule="auto"/>
              <w:rPr>
                <w:rFonts w:hint="eastAsia"/>
                <w:color w:val="auto"/>
                <w:szCs w:val="22"/>
                <w:highlight w:val="none"/>
                <w:lang w:val="zh-CN"/>
              </w:rPr>
            </w:pPr>
            <w:r>
              <w:rPr>
                <w:rFonts w:hint="eastAsia"/>
                <w:color w:val="auto"/>
                <w:highlight w:val="none"/>
                <w:lang w:val="zh-CN" w:eastAsia="zh-CN"/>
              </w:rPr>
              <w:t>⑥良好的信用记录：投标截止时间之前，未被“信用中国”网站（</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"http://www.creditchina.gov.cn" </w:instrText>
            </w:r>
            <w:r>
              <w:rPr>
                <w:rFonts w:hint="eastAsia"/>
                <w:color w:val="auto"/>
                <w:highlight w:val="none"/>
                <w:lang w:val="en-US" w:eastAsia="zh-CN"/>
              </w:rPr>
              <w:fldChar w:fldCharType="separate"/>
            </w:r>
            <w:r>
              <w:rPr>
                <w:rFonts w:hint="eastAsia"/>
                <w:color w:val="auto"/>
                <w:highlight w:val="none"/>
                <w:lang w:val="zh-CN" w:eastAsia="zh-CN"/>
              </w:rPr>
              <w:t>www.creditchina.gov.cn</w:t>
            </w:r>
            <w:r>
              <w:rPr>
                <w:rFonts w:hint="eastAsia"/>
                <w:color w:val="auto"/>
                <w:highlight w:val="none"/>
                <w:lang w:val="zh-CN" w:eastAsia="zh-CN"/>
              </w:rPr>
              <w:fldChar w:fldCharType="end"/>
            </w:r>
            <w:r>
              <w:rPr>
                <w:rFonts w:hint="eastAsia"/>
                <w:color w:val="auto"/>
                <w:highlight w:val="none"/>
                <w:lang w:val="zh-CN" w:eastAsia="zh-CN"/>
              </w:rPr>
              <w:t>）列入失信被执行人、重大税收违法案件当事人名单、政府采购严重违法失信行为记录名单，未被“中国政府采购网”网站（www.ccgp.gov.cn）列入政府采购严重违法失信行为记录名单。</w:t>
            </w:r>
          </w:p>
        </w:tc>
      </w:tr>
      <w:tr w14:paraId="37E5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33" w:type="dxa"/>
            <w:vMerge w:val="continue"/>
            <w:noWrap w:val="0"/>
            <w:vAlign w:val="center"/>
          </w:tcPr>
          <w:p w14:paraId="53C95D43">
            <w:pPr>
              <w:snapToGrid w:val="0"/>
              <w:spacing w:line="400" w:lineRule="exact"/>
              <w:rPr>
                <w:color w:val="auto"/>
                <w:highlight w:val="none"/>
              </w:rPr>
            </w:pPr>
          </w:p>
        </w:tc>
        <w:tc>
          <w:tcPr>
            <w:tcW w:w="516" w:type="dxa"/>
            <w:vMerge w:val="continue"/>
            <w:noWrap w:val="0"/>
            <w:vAlign w:val="top"/>
          </w:tcPr>
          <w:p w14:paraId="653C7EBC">
            <w:pPr>
              <w:snapToGrid w:val="0"/>
              <w:spacing w:line="400" w:lineRule="exact"/>
              <w:rPr>
                <w:color w:val="auto"/>
                <w:highlight w:val="none"/>
              </w:rPr>
            </w:pPr>
          </w:p>
        </w:tc>
        <w:tc>
          <w:tcPr>
            <w:tcW w:w="7682" w:type="dxa"/>
            <w:gridSpan w:val="3"/>
            <w:noWrap w:val="0"/>
            <w:vAlign w:val="top"/>
          </w:tcPr>
          <w:p w14:paraId="430A7E79">
            <w:pPr>
              <w:pStyle w:val="24"/>
              <w:rPr>
                <w:rFonts w:hint="eastAsia" w:hAnsi="宋体" w:cs="宋体"/>
                <w:bCs/>
                <w:color w:val="auto"/>
                <w:kern w:val="2"/>
                <w:szCs w:val="24"/>
                <w:highlight w:val="none"/>
              </w:rPr>
            </w:pPr>
            <w:r>
              <w:rPr>
                <w:rFonts w:hint="eastAsia" w:ascii="宋体" w:hAnsi="Times New Roman" w:eastAsia="宋体" w:cs="Times New Roman"/>
                <w:color w:val="auto"/>
                <w:kern w:val="0"/>
                <w:sz w:val="24"/>
                <w:highlight w:val="none"/>
                <w:u w:val="none" w:color="000000"/>
                <w:lang w:val="en-US" w:eastAsia="zh-CN" w:bidi="ar-SA"/>
              </w:rPr>
              <w:t>2.2</w:t>
            </w:r>
            <w:r>
              <w:rPr>
                <w:rFonts w:hint="eastAsia" w:ascii="宋体" w:hAnsi="Times New Roman" w:eastAsia="宋体" w:cs="Times New Roman"/>
                <w:color w:val="auto"/>
                <w:kern w:val="0"/>
                <w:sz w:val="24"/>
                <w:highlight w:val="none"/>
                <w:u w:val="none" w:color="000000"/>
                <w:lang w:val="zh-CN" w:eastAsia="zh-CN" w:bidi="ar-SA"/>
              </w:rPr>
              <w:t>投标保证金：</w:t>
            </w:r>
            <w:r>
              <w:rPr>
                <w:rFonts w:hint="eastAsia" w:hAnsi="宋体" w:cs="宋体"/>
                <w:color w:val="auto"/>
                <w:szCs w:val="24"/>
                <w:highlight w:val="none"/>
                <w:lang w:eastAsia="zh-CN"/>
              </w:rPr>
              <w:t>招标人</w:t>
            </w:r>
            <w:r>
              <w:rPr>
                <w:rFonts w:hint="eastAsia" w:hAnsi="宋体" w:cs="宋体"/>
                <w:color w:val="auto"/>
                <w:szCs w:val="24"/>
                <w:highlight w:val="none"/>
              </w:rPr>
              <w:t>根据项目的实际情况，要求投标人在202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8</w:t>
            </w:r>
            <w:r>
              <w:rPr>
                <w:rFonts w:hint="eastAsia" w:hAnsi="宋体" w:cs="宋体"/>
                <w:color w:val="auto"/>
                <w:szCs w:val="24"/>
                <w:highlight w:val="none"/>
              </w:rPr>
              <w:t>月</w:t>
            </w:r>
            <w:r>
              <w:rPr>
                <w:rFonts w:hint="eastAsia" w:hAnsi="宋体" w:cs="宋体"/>
                <w:color w:val="auto"/>
                <w:szCs w:val="24"/>
                <w:highlight w:val="none"/>
                <w:lang w:val="en-US" w:eastAsia="zh-CN"/>
              </w:rPr>
              <w:t>22</w:t>
            </w:r>
            <w:r>
              <w:rPr>
                <w:rFonts w:hint="eastAsia" w:hAnsi="宋体" w:cs="宋体"/>
                <w:color w:val="auto"/>
                <w:szCs w:val="24"/>
                <w:highlight w:val="none"/>
              </w:rPr>
              <w:t>日17：00至202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8</w:t>
            </w:r>
            <w:r>
              <w:rPr>
                <w:rFonts w:hint="eastAsia" w:hAnsi="宋体" w:cs="宋体"/>
                <w:color w:val="auto"/>
                <w:szCs w:val="24"/>
                <w:highlight w:val="none"/>
              </w:rPr>
              <w:t>月</w:t>
            </w:r>
            <w:r>
              <w:rPr>
                <w:rFonts w:hint="eastAsia" w:hAnsi="宋体" w:cs="宋体"/>
                <w:color w:val="auto"/>
                <w:szCs w:val="24"/>
                <w:highlight w:val="none"/>
                <w:lang w:val="en-US" w:eastAsia="zh-CN"/>
              </w:rPr>
              <w:t>29</w:t>
            </w:r>
            <w:r>
              <w:rPr>
                <w:rFonts w:hint="eastAsia" w:hAnsi="宋体" w:cs="宋体"/>
                <w:color w:val="auto"/>
                <w:szCs w:val="24"/>
                <w:highlight w:val="none"/>
              </w:rPr>
              <w:t>日</w:t>
            </w:r>
            <w:r>
              <w:rPr>
                <w:rFonts w:hint="eastAsia" w:hAnsi="宋体" w:cs="宋体"/>
                <w:color w:val="auto"/>
                <w:szCs w:val="24"/>
                <w:highlight w:val="none"/>
                <w:lang w:val="en-US" w:eastAsia="zh-CN"/>
              </w:rPr>
              <w:t>8</w:t>
            </w:r>
            <w:r>
              <w:rPr>
                <w:rFonts w:hint="eastAsia" w:hAnsi="宋体" w:cs="宋体"/>
                <w:color w:val="auto"/>
                <w:szCs w:val="24"/>
                <w:highlight w:val="none"/>
              </w:rPr>
              <w:t>：50前须交纳投标保证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伍仟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18"/>
              <w:tblW w:w="7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227"/>
              <w:gridCol w:w="667"/>
              <w:gridCol w:w="2054"/>
            </w:tblGrid>
            <w:tr w14:paraId="1CC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09" w:type="dxa"/>
                  <w:noWrap w:val="0"/>
                  <w:vAlign w:val="center"/>
                </w:tcPr>
                <w:p w14:paraId="7FEB2FAB">
                  <w:pPr>
                    <w:jc w:val="center"/>
                    <w:rPr>
                      <w:rFonts w:hAnsi="宋体"/>
                      <w:bCs/>
                      <w:color w:val="auto"/>
                      <w:szCs w:val="21"/>
                      <w:highlight w:val="none"/>
                      <w:lang w:val="zh-CN"/>
                    </w:rPr>
                  </w:pPr>
                  <w:r>
                    <w:rPr>
                      <w:rFonts w:hint="eastAsia"/>
                      <w:color w:val="auto"/>
                      <w:szCs w:val="21"/>
                      <w:highlight w:val="none"/>
                    </w:rPr>
                    <w:t>交纳投标保证金账户名称</w:t>
                  </w:r>
                </w:p>
              </w:tc>
              <w:tc>
                <w:tcPr>
                  <w:tcW w:w="3227" w:type="dxa"/>
                  <w:noWrap w:val="0"/>
                  <w:vAlign w:val="center"/>
                </w:tcPr>
                <w:p w14:paraId="36615A06">
                  <w:pPr>
                    <w:jc w:val="center"/>
                    <w:rPr>
                      <w:rFonts w:hint="eastAsia" w:hAnsi="宋体" w:eastAsia="宋体"/>
                      <w:bCs/>
                      <w:color w:val="auto"/>
                      <w:szCs w:val="21"/>
                      <w:highlight w:val="none"/>
                      <w:lang w:val="zh-CN" w:eastAsia="zh-CN"/>
                    </w:rPr>
                  </w:pPr>
                  <w:r>
                    <w:rPr>
                      <w:rFonts w:hint="eastAsia"/>
                      <w:color w:val="auto"/>
                      <w:sz w:val="22"/>
                      <w:szCs w:val="18"/>
                      <w:highlight w:val="none"/>
                    </w:rPr>
                    <w:t>宜兴市公用环保集团有限公司</w:t>
                  </w:r>
                </w:p>
              </w:tc>
              <w:tc>
                <w:tcPr>
                  <w:tcW w:w="667" w:type="dxa"/>
                  <w:vMerge w:val="restart"/>
                  <w:noWrap w:val="0"/>
                  <w:vAlign w:val="center"/>
                </w:tcPr>
                <w:p w14:paraId="78461C29">
                  <w:pPr>
                    <w:jc w:val="center"/>
                    <w:rPr>
                      <w:rFonts w:hAnsi="宋体"/>
                      <w:bCs/>
                      <w:color w:val="auto"/>
                      <w:szCs w:val="21"/>
                      <w:highlight w:val="none"/>
                      <w:lang w:val="zh-CN"/>
                    </w:rPr>
                  </w:pPr>
                  <w:r>
                    <w:rPr>
                      <w:rFonts w:hint="eastAsia" w:hAnsi="宋体"/>
                      <w:bCs/>
                      <w:color w:val="auto"/>
                      <w:szCs w:val="21"/>
                      <w:highlight w:val="none"/>
                      <w:lang w:val="zh-CN"/>
                    </w:rPr>
                    <w:t>交纳</w:t>
                  </w:r>
                </w:p>
                <w:p w14:paraId="72D30A94">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054" w:type="dxa"/>
                  <w:vMerge w:val="restart"/>
                  <w:noWrap w:val="0"/>
                  <w:vAlign w:val="center"/>
                </w:tcPr>
                <w:p w14:paraId="41FF85AC">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14:paraId="311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09" w:type="dxa"/>
                  <w:noWrap w:val="0"/>
                  <w:vAlign w:val="center"/>
                </w:tcPr>
                <w:p w14:paraId="6299D0C4">
                  <w:pPr>
                    <w:jc w:val="center"/>
                    <w:rPr>
                      <w:color w:val="auto"/>
                      <w:szCs w:val="21"/>
                      <w:highlight w:val="none"/>
                    </w:rPr>
                  </w:pPr>
                  <w:r>
                    <w:rPr>
                      <w:rFonts w:hint="eastAsia" w:hAnsi="宋体"/>
                      <w:bCs/>
                      <w:color w:val="auto"/>
                      <w:szCs w:val="21"/>
                      <w:highlight w:val="none"/>
                      <w:lang w:val="zh-CN"/>
                    </w:rPr>
                    <w:t>开户银行</w:t>
                  </w:r>
                </w:p>
              </w:tc>
              <w:tc>
                <w:tcPr>
                  <w:tcW w:w="3227" w:type="dxa"/>
                  <w:noWrap w:val="0"/>
                  <w:vAlign w:val="center"/>
                </w:tcPr>
                <w:p w14:paraId="6843B164">
                  <w:pPr>
                    <w:jc w:val="center"/>
                    <w:rPr>
                      <w:rFonts w:ascii="宋体" w:hAnsi="宋体"/>
                      <w:bCs/>
                      <w:color w:val="auto"/>
                      <w:sz w:val="24"/>
                      <w:szCs w:val="21"/>
                      <w:highlight w:val="none"/>
                    </w:rPr>
                  </w:pPr>
                  <w:r>
                    <w:rPr>
                      <w:rFonts w:hint="eastAsia" w:ascii="Times New Roman" w:hAnsi="Times New Roman" w:eastAsia="宋体" w:cs="Times New Roman"/>
                      <w:color w:val="auto"/>
                      <w:highlight w:val="none"/>
                    </w:rPr>
                    <w:t>光大银行宜兴支行</w:t>
                  </w:r>
                </w:p>
              </w:tc>
              <w:tc>
                <w:tcPr>
                  <w:tcW w:w="667" w:type="dxa"/>
                  <w:vMerge w:val="continue"/>
                  <w:noWrap w:val="0"/>
                  <w:vAlign w:val="center"/>
                </w:tcPr>
                <w:p w14:paraId="4C152719">
                  <w:pPr>
                    <w:jc w:val="center"/>
                    <w:rPr>
                      <w:rFonts w:hAnsi="宋体"/>
                      <w:bCs/>
                      <w:color w:val="auto"/>
                      <w:szCs w:val="21"/>
                      <w:highlight w:val="none"/>
                      <w:lang w:val="zh-CN"/>
                    </w:rPr>
                  </w:pPr>
                </w:p>
              </w:tc>
              <w:tc>
                <w:tcPr>
                  <w:tcW w:w="2054" w:type="dxa"/>
                  <w:vMerge w:val="continue"/>
                  <w:noWrap w:val="0"/>
                  <w:vAlign w:val="center"/>
                </w:tcPr>
                <w:p w14:paraId="5D41D990">
                  <w:pPr>
                    <w:jc w:val="center"/>
                    <w:rPr>
                      <w:color w:val="auto"/>
                      <w:szCs w:val="21"/>
                      <w:highlight w:val="none"/>
                    </w:rPr>
                  </w:pPr>
                </w:p>
              </w:tc>
            </w:tr>
            <w:tr w14:paraId="58DB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09" w:type="dxa"/>
                  <w:noWrap w:val="0"/>
                  <w:vAlign w:val="center"/>
                </w:tcPr>
                <w:p w14:paraId="2493F5C4">
                  <w:pPr>
                    <w:jc w:val="center"/>
                    <w:rPr>
                      <w:color w:val="auto"/>
                      <w:szCs w:val="21"/>
                      <w:highlight w:val="none"/>
                    </w:rPr>
                  </w:pPr>
                  <w:r>
                    <w:rPr>
                      <w:rFonts w:hint="eastAsia" w:hAnsi="宋体"/>
                      <w:bCs/>
                      <w:color w:val="auto"/>
                      <w:szCs w:val="21"/>
                      <w:highlight w:val="none"/>
                      <w:lang w:val="zh-CN"/>
                    </w:rPr>
                    <w:t>账号</w:t>
                  </w:r>
                </w:p>
              </w:tc>
              <w:tc>
                <w:tcPr>
                  <w:tcW w:w="3227" w:type="dxa"/>
                  <w:noWrap w:val="0"/>
                  <w:vAlign w:val="center"/>
                </w:tcPr>
                <w:p w14:paraId="291CE247">
                  <w:pPr>
                    <w:jc w:val="center"/>
                    <w:rPr>
                      <w:rFonts w:hint="default" w:ascii="宋体" w:hAnsi="宋体" w:eastAsia="宋体"/>
                      <w:bCs/>
                      <w:color w:val="auto"/>
                      <w:sz w:val="24"/>
                      <w:szCs w:val="21"/>
                      <w:highlight w:val="none"/>
                      <w:lang w:val="en-US" w:eastAsia="zh-CN"/>
                    </w:rPr>
                  </w:pPr>
                  <w:r>
                    <w:rPr>
                      <w:rFonts w:hint="default" w:ascii="宋体" w:hAnsi="宋体" w:eastAsia="宋体"/>
                      <w:bCs/>
                      <w:color w:val="auto"/>
                      <w:sz w:val="24"/>
                      <w:szCs w:val="21"/>
                      <w:highlight w:val="none"/>
                      <w:lang w:val="en-US" w:eastAsia="zh-CN"/>
                    </w:rPr>
                    <w:t>51610188000306780</w:t>
                  </w:r>
                </w:p>
              </w:tc>
              <w:tc>
                <w:tcPr>
                  <w:tcW w:w="667" w:type="dxa"/>
                  <w:vMerge w:val="continue"/>
                  <w:noWrap w:val="0"/>
                  <w:vAlign w:val="center"/>
                </w:tcPr>
                <w:p w14:paraId="6C6AC58F">
                  <w:pPr>
                    <w:jc w:val="center"/>
                    <w:rPr>
                      <w:rFonts w:hAnsi="宋体"/>
                      <w:bCs/>
                      <w:color w:val="auto"/>
                      <w:szCs w:val="21"/>
                      <w:highlight w:val="none"/>
                      <w:lang w:val="zh-CN"/>
                    </w:rPr>
                  </w:pPr>
                </w:p>
              </w:tc>
              <w:tc>
                <w:tcPr>
                  <w:tcW w:w="2054" w:type="dxa"/>
                  <w:vMerge w:val="continue"/>
                  <w:noWrap w:val="0"/>
                  <w:vAlign w:val="center"/>
                </w:tcPr>
                <w:p w14:paraId="0C1E9D57">
                  <w:pPr>
                    <w:jc w:val="center"/>
                    <w:rPr>
                      <w:color w:val="auto"/>
                      <w:szCs w:val="21"/>
                      <w:highlight w:val="none"/>
                    </w:rPr>
                  </w:pPr>
                </w:p>
              </w:tc>
            </w:tr>
          </w:tbl>
          <w:p w14:paraId="253087A4">
            <w:pPr>
              <w:snapToGrid w:val="0"/>
              <w:spacing w:line="240" w:lineRule="auto"/>
              <w:rPr>
                <w:rFonts w:hint="eastAsia" w:ascii="宋体" w:hAnsi="Times New Roman" w:eastAsia="宋体" w:cs="Times New Roman"/>
                <w:color w:val="auto"/>
                <w:kern w:val="0"/>
                <w:sz w:val="24"/>
                <w:highlight w:val="none"/>
                <w:u w:val="none" w:color="000000"/>
                <w:lang w:val="zh-CN" w:eastAsia="zh-CN" w:bidi="ar-SA"/>
              </w:rPr>
            </w:pPr>
            <w:r>
              <w:rPr>
                <w:rFonts w:hint="eastAsia" w:ascii="Times New Roman" w:hAnsi="Times New Roman" w:eastAsia="宋体" w:cs="Times New Roman"/>
                <w:b/>
                <w:bCs/>
                <w:color w:val="0000FF"/>
                <w:szCs w:val="21"/>
                <w:highlight w:val="none"/>
              </w:rPr>
              <w:t>注：投标人必须在开标前</w:t>
            </w:r>
            <w:r>
              <w:rPr>
                <w:rFonts w:hint="eastAsia" w:cs="Times New Roman"/>
                <w:b/>
                <w:bCs/>
                <w:color w:val="0000FF"/>
                <w:szCs w:val="21"/>
                <w:highlight w:val="none"/>
                <w:lang w:val="en-US" w:eastAsia="zh-CN"/>
              </w:rPr>
              <w:t>10分钟</w:t>
            </w:r>
            <w:r>
              <w:rPr>
                <w:rFonts w:hint="eastAsia" w:ascii="Times New Roman" w:hAnsi="Times New Roman" w:eastAsia="宋体" w:cs="Times New Roman"/>
                <w:b/>
                <w:bCs/>
                <w:color w:val="0000FF"/>
                <w:szCs w:val="21"/>
                <w:highlight w:val="none"/>
              </w:rPr>
              <w:t>将保证金汇入以上账户，否则作废标处理, 缴纳投标保证金账户为涉密账户，账号随机，请投标单位仔细核对账号后缴纳投标保证金，合同签订后，无息退回。</w:t>
            </w:r>
          </w:p>
        </w:tc>
      </w:tr>
      <w:tr w14:paraId="13B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187DF4CB">
            <w:pPr>
              <w:snapToGrid w:val="0"/>
              <w:spacing w:line="400" w:lineRule="exact"/>
              <w:rPr>
                <w:color w:val="auto"/>
                <w:highlight w:val="none"/>
              </w:rPr>
            </w:pPr>
          </w:p>
        </w:tc>
        <w:tc>
          <w:tcPr>
            <w:tcW w:w="516" w:type="dxa"/>
            <w:vMerge w:val="continue"/>
            <w:noWrap w:val="0"/>
            <w:vAlign w:val="top"/>
          </w:tcPr>
          <w:p w14:paraId="1CE0D274">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750C9199">
            <w:pPr>
              <w:snapToGrid w:val="0"/>
              <w:spacing w:line="400" w:lineRule="exact"/>
              <w:rPr>
                <w:rFonts w:hint="eastAsia" w:ascii="宋体" w:hAnsi="Times New Roman" w:eastAsia="宋体" w:cs="Times New Roman"/>
                <w:color w:val="auto"/>
                <w:kern w:val="0"/>
                <w:sz w:val="24"/>
                <w:highlight w:val="none"/>
                <w:u w:val="none" w:color="000000"/>
                <w:lang w:val="zh-CN" w:eastAsia="zh-CN" w:bidi="ar-SA"/>
              </w:rPr>
            </w:pPr>
            <w:r>
              <w:rPr>
                <w:rFonts w:hint="eastAsia" w:ascii="宋体" w:hAnsi="Times New Roman" w:eastAsia="宋体" w:cs="Times New Roman"/>
                <w:color w:val="auto"/>
                <w:kern w:val="0"/>
                <w:sz w:val="24"/>
                <w:highlight w:val="none"/>
                <w:u w:val="none" w:color="000000"/>
                <w:lang w:val="zh-CN" w:eastAsia="zh-CN" w:bidi="ar-SA"/>
              </w:rPr>
              <w:t>2.3拒绝下述</w:t>
            </w:r>
            <w:r>
              <w:rPr>
                <w:rFonts w:hint="eastAsia" w:ascii="宋体" w:cs="Times New Roman"/>
                <w:color w:val="auto"/>
                <w:kern w:val="0"/>
                <w:sz w:val="24"/>
                <w:highlight w:val="none"/>
                <w:u w:val="none" w:color="000000"/>
                <w:lang w:val="zh-CN" w:eastAsia="zh-CN" w:bidi="ar-SA"/>
              </w:rPr>
              <w:t>投标人</w:t>
            </w:r>
            <w:r>
              <w:rPr>
                <w:rFonts w:hint="eastAsia" w:ascii="宋体" w:hAnsi="Times New Roman" w:eastAsia="宋体" w:cs="Times New Roman"/>
                <w:color w:val="auto"/>
                <w:kern w:val="0"/>
                <w:sz w:val="24"/>
                <w:highlight w:val="none"/>
                <w:u w:val="none" w:color="000000"/>
                <w:lang w:val="zh-CN" w:eastAsia="zh-CN" w:bidi="ar-SA"/>
              </w:rPr>
              <w:t>参加本次采购活动：</w:t>
            </w:r>
          </w:p>
          <w:p w14:paraId="3CC908FD">
            <w:pPr>
              <w:snapToGrid w:val="0"/>
              <w:spacing w:line="400" w:lineRule="exact"/>
              <w:rPr>
                <w:rFonts w:hint="eastAsia" w:ascii="宋体" w:hAnsi="Times New Roman" w:eastAsia="宋体" w:cs="Times New Roman"/>
                <w:color w:val="auto"/>
                <w:kern w:val="0"/>
                <w:sz w:val="24"/>
                <w:highlight w:val="none"/>
                <w:u w:val="none" w:color="000000"/>
                <w:lang w:val="zh-CN" w:eastAsia="zh-CN" w:bidi="ar-SA"/>
              </w:rPr>
            </w:pPr>
            <w:r>
              <w:rPr>
                <w:rFonts w:hint="eastAsia" w:ascii="宋体" w:hAnsi="Times New Roman" w:eastAsia="宋体" w:cs="Times New Roman"/>
                <w:color w:val="auto"/>
                <w:kern w:val="0"/>
                <w:sz w:val="24"/>
                <w:highlight w:val="none"/>
                <w:u w:val="none" w:color="000000"/>
                <w:lang w:val="zh-CN" w:eastAsia="zh-CN" w:bidi="ar-SA"/>
              </w:rPr>
              <w:t>①</w:t>
            </w:r>
            <w:r>
              <w:rPr>
                <w:rFonts w:hint="eastAsia" w:ascii="宋体" w:cs="Times New Roman"/>
                <w:color w:val="auto"/>
                <w:kern w:val="0"/>
                <w:sz w:val="24"/>
                <w:highlight w:val="none"/>
                <w:u w:val="none" w:color="000000"/>
                <w:lang w:val="en-US" w:eastAsia="zh-CN" w:bidi="ar-SA"/>
              </w:rPr>
              <w:t>投标人</w:t>
            </w:r>
            <w:r>
              <w:rPr>
                <w:rFonts w:hint="eastAsia" w:ascii="宋体" w:hAnsi="Times New Roman" w:eastAsia="宋体" w:cs="Times New Roman"/>
                <w:color w:val="auto"/>
                <w:kern w:val="0"/>
                <w:sz w:val="24"/>
                <w:highlight w:val="none"/>
                <w:u w:val="none" w:color="000000"/>
                <w:lang w:val="en-US" w:eastAsia="zh-CN" w:bidi="ar-SA"/>
              </w:rPr>
              <w:t>单位</w:t>
            </w:r>
            <w:r>
              <w:rPr>
                <w:rFonts w:hint="eastAsia" w:ascii="宋体" w:hAnsi="Times New Roman" w:eastAsia="宋体" w:cs="Times New Roman"/>
                <w:color w:val="auto"/>
                <w:kern w:val="0"/>
                <w:sz w:val="24"/>
                <w:highlight w:val="none"/>
                <w:u w:val="none" w:color="000000"/>
                <w:lang w:val="zh-CN" w:eastAsia="zh-CN" w:bidi="ar-SA"/>
              </w:rPr>
              <w:t>负责人为同一人或者存在直接控股、管理关系的不同</w:t>
            </w:r>
            <w:r>
              <w:rPr>
                <w:rFonts w:hint="eastAsia" w:ascii="宋体" w:cs="Times New Roman"/>
                <w:color w:val="auto"/>
                <w:kern w:val="0"/>
                <w:sz w:val="24"/>
                <w:highlight w:val="none"/>
                <w:u w:val="none" w:color="000000"/>
                <w:lang w:val="zh-CN" w:eastAsia="zh-CN" w:bidi="ar-SA"/>
              </w:rPr>
              <w:t>投标人</w:t>
            </w:r>
            <w:r>
              <w:rPr>
                <w:rFonts w:hint="eastAsia" w:ascii="宋体" w:hAnsi="Times New Roman" w:eastAsia="宋体" w:cs="Times New Roman"/>
                <w:color w:val="auto"/>
                <w:kern w:val="0"/>
                <w:sz w:val="24"/>
                <w:highlight w:val="none"/>
                <w:u w:val="none" w:color="000000"/>
                <w:lang w:val="zh-CN" w:eastAsia="zh-CN" w:bidi="ar-SA"/>
              </w:rPr>
              <w:t>，不得参加同一合同项下的采购活动，否则相关投标将被认定为无效投标；</w:t>
            </w:r>
          </w:p>
          <w:p w14:paraId="5DC87E4B">
            <w:pPr>
              <w:pStyle w:val="8"/>
              <w:ind w:left="0" w:leftChars="0" w:firstLine="0" w:firstLineChars="0"/>
              <w:rPr>
                <w:rFonts w:hint="eastAsia" w:ascii="宋体" w:hAnsi="Times New Roman" w:eastAsia="宋体" w:cs="Times New Roman"/>
                <w:color w:val="auto"/>
                <w:kern w:val="0"/>
                <w:sz w:val="24"/>
                <w:highlight w:val="none"/>
                <w:u w:val="none" w:color="000000"/>
                <w:lang w:val="zh-CN" w:eastAsia="zh-CN" w:bidi="ar-SA"/>
              </w:rPr>
            </w:pPr>
            <w:r>
              <w:rPr>
                <w:rFonts w:hint="eastAsia" w:ascii="宋体" w:hAnsi="Times New Roman" w:eastAsia="宋体" w:cs="Times New Roman"/>
                <w:color w:val="auto"/>
                <w:kern w:val="0"/>
                <w:sz w:val="24"/>
                <w:highlight w:val="none"/>
                <w:u w:val="none" w:color="000000"/>
                <w:lang w:val="zh-CN" w:eastAsia="zh-CN" w:bidi="ar-SA"/>
              </w:rPr>
              <w:t>②凡为采购项目提供整体设计、规范编制或者项目管理、监理、检测等服务的</w:t>
            </w:r>
            <w:r>
              <w:rPr>
                <w:rFonts w:hint="eastAsia" w:ascii="宋体" w:cs="Times New Roman"/>
                <w:color w:val="auto"/>
                <w:kern w:val="0"/>
                <w:sz w:val="24"/>
                <w:highlight w:val="none"/>
                <w:u w:val="none" w:color="000000"/>
                <w:lang w:val="zh-CN" w:eastAsia="zh-CN" w:bidi="ar-SA"/>
              </w:rPr>
              <w:t>投标人</w:t>
            </w:r>
            <w:r>
              <w:rPr>
                <w:rFonts w:hint="eastAsia" w:ascii="宋体" w:hAnsi="Times New Roman" w:eastAsia="宋体" w:cs="Times New Roman"/>
                <w:color w:val="auto"/>
                <w:kern w:val="0"/>
                <w:sz w:val="24"/>
                <w:highlight w:val="none"/>
                <w:u w:val="none" w:color="000000"/>
                <w:lang w:val="zh-CN" w:eastAsia="zh-CN" w:bidi="ar-SA"/>
              </w:rPr>
              <w:t>，不得再参加本项目的采购活动，否则其投标将被认定为无效投标。</w:t>
            </w:r>
          </w:p>
        </w:tc>
      </w:tr>
      <w:bookmarkEnd w:id="5"/>
      <w:tr w14:paraId="6D2C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0D541B07">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5D85FDF5">
            <w:pPr>
              <w:pStyle w:val="24"/>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351F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7F3D48F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568A7B48">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646DFAFE">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49287BEC">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77E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4B83A39F">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14:paraId="6ACF3FD1">
            <w:pPr>
              <w:snapToGrid w:val="0"/>
              <w:spacing w:line="400" w:lineRule="exact"/>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2025年8月29日9:00</w:t>
            </w:r>
          </w:p>
          <w:p w14:paraId="6CAEADF4">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bookmarkStart w:id="261" w:name="_GoBack"/>
            <w:bookmarkEnd w:id="261"/>
          </w:p>
          <w:p w14:paraId="19B2F6EB">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投标地点及开标地点：</w:t>
            </w:r>
            <w:r>
              <w:rPr>
                <w:rFonts w:hint="eastAsia"/>
                <w:color w:val="auto"/>
                <w:sz w:val="24"/>
                <w:highlight w:val="none"/>
                <w:lang w:val="en-US" w:eastAsia="zh-CN"/>
              </w:rPr>
              <w:t>宜兴市公用环保集团有限公司二楼开标室</w:t>
            </w:r>
          </w:p>
        </w:tc>
      </w:tr>
      <w:tr w14:paraId="4877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399562EC">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960BC91">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71124F82">
            <w:pPr>
              <w:snapToGrid w:val="0"/>
              <w:spacing w:line="400" w:lineRule="exact"/>
              <w:jc w:val="center"/>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eastAsia="zh-CN"/>
              </w:rPr>
              <w:t>招标人</w:t>
            </w:r>
          </w:p>
        </w:tc>
        <w:tc>
          <w:tcPr>
            <w:tcW w:w="5768" w:type="dxa"/>
            <w:noWrap w:val="0"/>
            <w:vAlign w:val="center"/>
          </w:tcPr>
          <w:p w14:paraId="0AD16BDF">
            <w:pPr>
              <w:snapToGrid w:val="0"/>
              <w:spacing w:line="400" w:lineRule="exac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宜兴市公用市政工程有限公司</w:t>
            </w:r>
          </w:p>
          <w:p w14:paraId="533BBC34">
            <w:pPr>
              <w:jc w:val="left"/>
              <w:rPr>
                <w:rFonts w:hint="eastAsia" w:ascii="宋体" w:hAnsi="宋体"/>
                <w:color w:val="auto"/>
                <w:sz w:val="24"/>
                <w:szCs w:val="28"/>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lang w:val="en-US" w:eastAsia="zh-CN"/>
              </w:rPr>
              <w:t>应先生</w:t>
            </w:r>
          </w:p>
          <w:p w14:paraId="2A941D6C">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0510-87117379</w:t>
            </w:r>
          </w:p>
          <w:p w14:paraId="60F7E295">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794A4519">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0B2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69FA1438">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7BEEEA98">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2D7E53B">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4FF944C5">
            <w:pPr>
              <w:jc w:val="left"/>
              <w:rPr>
                <w:rFonts w:hint="default" w:ascii="宋体" w:hAnsi="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韦女士</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13961510109</w:t>
            </w:r>
          </w:p>
          <w:p w14:paraId="114FDC10">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联系地址：宜兴市</w:t>
            </w:r>
            <w:r>
              <w:rPr>
                <w:rFonts w:hint="eastAsia" w:ascii="宋体" w:hAnsi="宋体"/>
                <w:bCs/>
                <w:color w:val="auto"/>
                <w:sz w:val="24"/>
                <w:szCs w:val="24"/>
                <w:highlight w:val="none"/>
                <w:lang w:val="en-US" w:eastAsia="zh-CN"/>
              </w:rPr>
              <w:t>杏园路108号科创商务中心5号楼</w:t>
            </w:r>
          </w:p>
          <w:p w14:paraId="3C2085FF">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11AA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5AB30F3C">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4DB304BC">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080DF6D">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38CD8CD3">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48F1EF01">
            <w:pPr>
              <w:spacing w:line="440" w:lineRule="exact"/>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5EF28CE5">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435EE277">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6F398BE0">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25DDDA2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64087410">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AAAB5A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0C95081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3E7B7A6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23B1AD5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lang w:val="en-US" w:eastAsia="zh-CN"/>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w:t>
      </w:r>
    </w:p>
    <w:p w14:paraId="351C64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4630886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14CB368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B8433C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2.2 </w:t>
      </w:r>
      <w:r>
        <w:rPr>
          <w:rFonts w:hint="eastAsia" w:ascii="宋体" w:hAnsi="宋体"/>
          <w:bCs/>
          <w:color w:val="auto"/>
          <w:sz w:val="24"/>
          <w:szCs w:val="24"/>
          <w:highlight w:val="none"/>
          <w:lang w:val="en-US" w:eastAsia="zh-CN"/>
        </w:rPr>
        <w:t>投标人</w:t>
      </w:r>
      <w:r>
        <w:rPr>
          <w:rFonts w:hint="eastAsia" w:ascii="宋体" w:hAnsi="宋体"/>
          <w:bCs/>
          <w:color w:val="auto"/>
          <w:sz w:val="24"/>
          <w:szCs w:val="24"/>
          <w:highlight w:val="none"/>
        </w:rPr>
        <w:t>应自行承担所有与准备和参加报价有关的一切费用（含报名费、标书制作费、评标费等费用）。</w:t>
      </w:r>
    </w:p>
    <w:p w14:paraId="53ECD759">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2.3 本次采购，招标文件费300元/套，售后不退。</w:t>
      </w:r>
    </w:p>
    <w:p w14:paraId="6B7B5633">
      <w:pPr>
        <w:spacing w:line="360" w:lineRule="auto"/>
        <w:ind w:firstLine="482" w:firstLineChars="200"/>
        <w:rPr>
          <w:rFonts w:hint="eastAsia"/>
          <w:color w:val="auto"/>
          <w:highlight w:val="none"/>
        </w:rPr>
      </w:pPr>
      <w:r>
        <w:rPr>
          <w:rFonts w:hint="eastAsia" w:ascii="宋体" w:hAnsi="宋体"/>
          <w:b/>
          <w:color w:val="auto"/>
          <w:sz w:val="24"/>
          <w:szCs w:val="24"/>
          <w:highlight w:val="none"/>
          <w:lang w:val="en-US" w:eastAsia="zh-CN"/>
        </w:rPr>
        <w:t>2.4</w:t>
      </w:r>
      <w:r>
        <w:rPr>
          <w:rFonts w:hint="eastAsia" w:ascii="宋体" w:hAnsi="宋体"/>
          <w:b/>
          <w:color w:val="auto"/>
          <w:sz w:val="24"/>
          <w:szCs w:val="24"/>
          <w:highlight w:val="none"/>
        </w:rPr>
        <w:t>评审费收费标准:</w:t>
      </w:r>
      <w:r>
        <w:rPr>
          <w:rFonts w:ascii="宋体" w:hAnsi="宋体"/>
          <w:b/>
          <w:color w:val="auto"/>
          <w:sz w:val="24"/>
          <w:szCs w:val="24"/>
          <w:highlight w:val="none"/>
        </w:rPr>
        <w:t>参照苏财购</w:t>
      </w:r>
      <w:r>
        <w:rPr>
          <w:rFonts w:hint="eastAsia" w:ascii="宋体" w:hAnsi="宋体"/>
          <w:b/>
          <w:color w:val="auto"/>
          <w:sz w:val="24"/>
          <w:szCs w:val="24"/>
          <w:highlight w:val="none"/>
          <w:lang w:eastAsia="zh-CN"/>
        </w:rPr>
        <w:t>〔2016〕48号</w:t>
      </w:r>
      <w:r>
        <w:rPr>
          <w:rFonts w:ascii="宋体" w:hAnsi="宋体"/>
          <w:b/>
          <w:color w:val="auto"/>
          <w:sz w:val="24"/>
          <w:szCs w:val="24"/>
          <w:highlight w:val="none"/>
        </w:rPr>
        <w:t>文相关规定收取费用（请各</w:t>
      </w:r>
      <w:r>
        <w:rPr>
          <w:rFonts w:hint="eastAsia" w:ascii="宋体" w:hAnsi="宋体"/>
          <w:b/>
          <w:color w:val="auto"/>
          <w:sz w:val="24"/>
          <w:szCs w:val="24"/>
          <w:highlight w:val="none"/>
          <w:lang w:val="en-US" w:eastAsia="zh-CN"/>
        </w:rPr>
        <w:t>投标人</w:t>
      </w:r>
      <w:r>
        <w:rPr>
          <w:rFonts w:ascii="宋体" w:hAnsi="宋体"/>
          <w:b/>
          <w:color w:val="auto"/>
          <w:sz w:val="24"/>
          <w:szCs w:val="24"/>
          <w:highlight w:val="none"/>
        </w:rPr>
        <w:t>把此费用考虑在内）。</w:t>
      </w:r>
    </w:p>
    <w:p w14:paraId="391034EB">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1E2416A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61E9CF5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B8328A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5396D36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4.1投标人可按招标公告要求获取招标文件及有关资料。投标人须按招标文件要求提交全部资料并对招标文件各项内容作出实质性响应，否则投标无效。</w:t>
      </w:r>
    </w:p>
    <w:p w14:paraId="02F9556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或采购代理机构联系解决。</w:t>
      </w:r>
    </w:p>
    <w:p w14:paraId="0272024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7E4F349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4A86D0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289"/>
      <w:bookmarkStart w:id="10" w:name="OLE_LINK109"/>
      <w:r>
        <w:rPr>
          <w:rFonts w:hint="eastAsia" w:ascii="宋体" w:hAnsi="宋体"/>
          <w:bCs/>
          <w:color w:val="auto"/>
          <w:sz w:val="24"/>
          <w:szCs w:val="24"/>
          <w:highlight w:val="none"/>
        </w:rPr>
        <w:t>本文件“第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 项目技术要求和有关说明”</w:t>
      </w:r>
      <w:r>
        <w:rPr>
          <w:rFonts w:hint="eastAsia" w:ascii="宋体" w:hAnsi="宋体"/>
          <w:bCs/>
          <w:color w:val="auto"/>
          <w:sz w:val="24"/>
          <w:szCs w:val="24"/>
          <w:highlight w:val="none"/>
          <w:lang w:val="en-US" w:eastAsia="zh-CN"/>
        </w:rPr>
        <w:t>和</w:t>
      </w:r>
      <w:r>
        <w:rPr>
          <w:rFonts w:hint="eastAsia" w:ascii="宋体" w:hAnsi="宋体"/>
          <w:bCs/>
          <w:color w:val="auto"/>
          <w:sz w:val="24"/>
          <w:szCs w:val="24"/>
          <w:highlight w:val="none"/>
        </w:rPr>
        <w:t>“第</w:t>
      </w: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rPr>
        <w:t>章 评标方法和标准”由</w:t>
      </w:r>
      <w:bookmarkStart w:id="11" w:name="OLE_LINK13"/>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和</w:t>
      </w:r>
      <w:bookmarkEnd w:id="12"/>
      <w:r>
        <w:rPr>
          <w:rFonts w:hint="eastAsia" w:ascii="宋体" w:hAnsi="宋体"/>
          <w:bCs/>
          <w:color w:val="auto"/>
          <w:sz w:val="24"/>
          <w:szCs w:val="24"/>
          <w:highlight w:val="none"/>
          <w:lang w:eastAsia="zh-CN"/>
        </w:rPr>
        <w:t>采购代理机构</w:t>
      </w:r>
      <w:r>
        <w:rPr>
          <w:rFonts w:hint="eastAsia" w:ascii="宋体" w:hAnsi="宋体"/>
          <w:bCs/>
          <w:color w:val="auto"/>
          <w:sz w:val="24"/>
          <w:szCs w:val="24"/>
          <w:highlight w:val="none"/>
        </w:rPr>
        <w:t>负责解释</w:t>
      </w:r>
      <w:bookmarkEnd w:id="8"/>
      <w:r>
        <w:rPr>
          <w:rFonts w:hint="eastAsia" w:ascii="宋体" w:hAnsi="宋体"/>
          <w:bCs/>
          <w:color w:val="auto"/>
          <w:sz w:val="24"/>
          <w:szCs w:val="24"/>
          <w:highlight w:val="none"/>
        </w:rPr>
        <w:t>。</w:t>
      </w:r>
      <w:bookmarkEnd w:id="9"/>
      <w:bookmarkEnd w:id="10"/>
    </w:p>
    <w:p w14:paraId="0F7714C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69011DD0">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 xml:space="preserve">.1 </w:t>
      </w:r>
      <w:bookmarkStart w:id="13" w:name="OLE_LINK14"/>
      <w:bookmarkStart w:id="14" w:name="OLE_LINK161"/>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15</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15</w:t>
      </w:r>
      <w:r>
        <w:rPr>
          <w:rFonts w:hint="eastAsia" w:ascii="宋体"/>
          <w:color w:val="auto"/>
          <w:sz w:val="24"/>
          <w:szCs w:val="21"/>
          <w:highlight w:val="none"/>
        </w:rPr>
        <w:t>日的，</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7F181585">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lang w:val="en-US" w:eastAsia="zh-CN"/>
        </w:rPr>
        <w:t>6</w:t>
      </w:r>
      <w:r>
        <w:rPr>
          <w:rFonts w:hint="eastAsia" w:ascii="宋体"/>
          <w:color w:val="auto"/>
          <w:sz w:val="24"/>
          <w:szCs w:val="21"/>
          <w:highlight w:val="none"/>
        </w:rPr>
        <w:t xml:space="preserve">.2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2C1757A4">
      <w:pPr>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三、</w:t>
      </w:r>
      <w:r>
        <w:rPr>
          <w:rFonts w:hint="eastAsia" w:ascii="宋体" w:hAnsi="宋体"/>
          <w:b/>
          <w:color w:val="auto"/>
          <w:sz w:val="24"/>
          <w:szCs w:val="24"/>
          <w:highlight w:val="none"/>
          <w:lang w:eastAsia="zh-CN"/>
        </w:rPr>
        <w:t>投标文件</w:t>
      </w:r>
    </w:p>
    <w:p w14:paraId="3F32A9EF">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的组成</w:t>
      </w:r>
      <w:bookmarkEnd w:id="15"/>
      <w:r>
        <w:rPr>
          <w:rFonts w:hint="eastAsia" w:ascii="宋体" w:hAnsi="宋体"/>
          <w:b/>
          <w:color w:val="auto"/>
          <w:sz w:val="24"/>
          <w:szCs w:val="24"/>
          <w:highlight w:val="none"/>
          <w:lang w:val="zh-CN"/>
        </w:rPr>
        <w:t>：</w:t>
      </w:r>
      <w:r>
        <w:rPr>
          <w:rFonts w:hint="eastAsia" w:ascii="宋体" w:hAnsi="宋体"/>
          <w:b/>
          <w:color w:val="auto"/>
          <w:sz w:val="24"/>
          <w:szCs w:val="24"/>
          <w:highlight w:val="none"/>
        </w:rPr>
        <w:t>对应第</w:t>
      </w: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章</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（格式）</w:t>
      </w:r>
    </w:p>
    <w:p w14:paraId="70964F35">
      <w:pPr>
        <w:numPr>
          <w:ilvl w:val="0"/>
          <w:numId w:val="0"/>
        </w:numPr>
        <w:tabs>
          <w:tab w:val="left" w:pos="0"/>
          <w:tab w:val="left" w:pos="255"/>
        </w:tabs>
        <w:spacing w:line="360" w:lineRule="auto"/>
        <w:ind w:left="420" w:leftChars="0"/>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lang w:val="en-US" w:eastAsia="zh-CN"/>
        </w:rPr>
        <w:t>7.1</w:t>
      </w:r>
      <w:r>
        <w:rPr>
          <w:rFonts w:hint="eastAsia" w:ascii="宋体" w:hAnsi="宋体"/>
          <w:color w:val="auto"/>
          <w:sz w:val="24"/>
          <w:szCs w:val="21"/>
          <w:highlight w:val="none"/>
          <w:lang w:val="zh-CN"/>
        </w:rPr>
        <w:t>投标函</w:t>
      </w:r>
    </w:p>
    <w:p w14:paraId="41AAFCA1">
      <w:pPr>
        <w:numPr>
          <w:ilvl w:val="0"/>
          <w:numId w:val="0"/>
        </w:numPr>
        <w:tabs>
          <w:tab w:val="left" w:pos="0"/>
          <w:tab w:val="left" w:pos="255"/>
        </w:tabs>
        <w:spacing w:line="360" w:lineRule="auto"/>
        <w:ind w:left="420" w:leftChars="0"/>
        <w:rPr>
          <w:rFonts w:hint="eastAsia" w:ascii="宋体" w:hAnsi="宋体"/>
          <w:color w:val="auto"/>
          <w:sz w:val="24"/>
          <w:szCs w:val="21"/>
          <w:highlight w:val="none"/>
          <w:lang w:val="zh-CN"/>
        </w:rPr>
      </w:pPr>
      <w:r>
        <w:rPr>
          <w:rFonts w:hint="eastAsia" w:ascii="宋体" w:hAnsi="宋体"/>
          <w:color w:val="auto"/>
          <w:sz w:val="24"/>
          <w:szCs w:val="21"/>
          <w:highlight w:val="none"/>
          <w:lang w:val="en-US" w:eastAsia="zh-CN"/>
        </w:rPr>
        <w:t>7.2</w:t>
      </w:r>
      <w:r>
        <w:rPr>
          <w:rFonts w:hint="eastAsia" w:ascii="宋体" w:hAnsi="宋体"/>
          <w:color w:val="auto"/>
          <w:sz w:val="24"/>
          <w:szCs w:val="21"/>
          <w:highlight w:val="none"/>
          <w:lang w:val="zh-CN"/>
        </w:rPr>
        <w:t>报价文件：</w:t>
      </w:r>
    </w:p>
    <w:p w14:paraId="0F56197B">
      <w:pPr>
        <w:numPr>
          <w:ilvl w:val="0"/>
          <w:numId w:val="0"/>
        </w:numPr>
        <w:tabs>
          <w:tab w:val="left" w:pos="0"/>
          <w:tab w:val="left" w:pos="255"/>
        </w:tabs>
        <w:spacing w:line="360" w:lineRule="auto"/>
        <w:ind w:left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7.2.1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342A8C44">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bookmarkStart w:id="20" w:name="OLE_LINK20"/>
      <w:r>
        <w:rPr>
          <w:rFonts w:hint="eastAsia" w:ascii="宋体" w:hAnsi="宋体"/>
          <w:color w:val="auto"/>
          <w:sz w:val="24"/>
          <w:szCs w:val="24"/>
          <w:highlight w:val="none"/>
          <w:lang w:val="en-US" w:eastAsia="zh-CN"/>
        </w:rPr>
        <w:t>7.3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12399909">
      <w:pPr>
        <w:numPr>
          <w:ilvl w:val="0"/>
          <w:numId w:val="0"/>
        </w:numPr>
        <w:tabs>
          <w:tab w:val="left" w:pos="0"/>
          <w:tab w:val="left" w:pos="255"/>
        </w:tabs>
        <w:spacing w:line="360" w:lineRule="auto"/>
        <w:ind w:left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lang w:val="en-US" w:eastAsia="zh-CN"/>
        </w:rPr>
        <w:t>7.3.1</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733B95F">
      <w:pPr>
        <w:numPr>
          <w:ilvl w:val="0"/>
          <w:numId w:val="0"/>
        </w:num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lang w:val="en-US" w:eastAsia="zh-CN"/>
        </w:rPr>
        <w:t>7.3.2投标人</w:t>
      </w:r>
      <w:r>
        <w:rPr>
          <w:rFonts w:hint="eastAsia" w:ascii="宋体" w:hAnsi="宋体"/>
          <w:color w:val="auto"/>
          <w:sz w:val="24"/>
          <w:szCs w:val="24"/>
          <w:highlight w:val="none"/>
        </w:rPr>
        <w:t>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cs="宋体"/>
          <w:b/>
          <w:color w:val="auto"/>
          <w:sz w:val="24"/>
          <w:szCs w:val="24"/>
          <w:highlight w:val="none"/>
        </w:rPr>
        <w:t>（开标时提供身份证原件）</w:t>
      </w:r>
    </w:p>
    <w:p w14:paraId="668F61DE">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bookmarkStart w:id="24" w:name="OLE_LINK113"/>
      <w:r>
        <w:rPr>
          <w:rFonts w:hint="eastAsia" w:ascii="宋体" w:hAnsi="宋体"/>
          <w:b w:val="0"/>
          <w:bCs/>
          <w:color w:val="auto"/>
          <w:sz w:val="24"/>
          <w:szCs w:val="24"/>
          <w:highlight w:val="none"/>
          <w:lang w:val="en-US" w:eastAsia="zh-CN"/>
        </w:rPr>
        <w:t>7.3.3</w:t>
      </w:r>
      <w:r>
        <w:rPr>
          <w:rFonts w:hint="eastAsia" w:ascii="宋体" w:hAnsi="宋体"/>
          <w:b w:val="0"/>
          <w:bCs/>
          <w:color w:val="auto"/>
          <w:sz w:val="24"/>
          <w:szCs w:val="24"/>
          <w:highlight w:val="none"/>
          <w:lang w:val="zh-CN"/>
        </w:rPr>
        <w:t>具有独立承担民事责任的能力：</w:t>
      </w:r>
      <w:r>
        <w:rPr>
          <w:rFonts w:hint="eastAsia" w:ascii="宋体" w:hAnsi="宋体"/>
          <w:bCs/>
          <w:color w:val="auto"/>
          <w:sz w:val="24"/>
          <w:szCs w:val="24"/>
          <w:highlight w:val="none"/>
          <w:lang w:val="zh-CN"/>
        </w:rPr>
        <w:t>投标人为法人或其他组织的提供营业执照或法人（登记）证书复印件，投标人为自然人的提供自然人身份证复印件；</w:t>
      </w:r>
      <w:r>
        <w:rPr>
          <w:rFonts w:hint="eastAsia" w:ascii="宋体" w:hAnsi="宋体"/>
          <w:color w:val="auto"/>
          <w:sz w:val="24"/>
          <w:szCs w:val="24"/>
          <w:highlight w:val="none"/>
        </w:rPr>
        <w:t xml:space="preserve"> </w:t>
      </w:r>
      <w:r>
        <w:rPr>
          <w:rFonts w:hint="eastAsia" w:ascii="宋体" w:hAnsi="宋体" w:cs="宋体"/>
          <w:b/>
          <w:color w:val="auto"/>
          <w:sz w:val="24"/>
          <w:szCs w:val="24"/>
          <w:highlight w:val="none"/>
        </w:rPr>
        <w:t>（开标时提供原件或公证件）</w:t>
      </w:r>
    </w:p>
    <w:bookmarkEnd w:id="24"/>
    <w:p w14:paraId="2FC04FCA">
      <w:pPr>
        <w:numPr>
          <w:ilvl w:val="0"/>
          <w:numId w:val="0"/>
        </w:numPr>
        <w:tabs>
          <w:tab w:val="left" w:pos="420"/>
          <w:tab w:val="left" w:pos="945"/>
          <w:tab w:val="left" w:pos="1155"/>
        </w:tabs>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7.3.4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63CC2C00">
      <w:pPr>
        <w:numPr>
          <w:ilvl w:val="0"/>
          <w:numId w:val="0"/>
        </w:num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7.3.5</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3B3A9677">
      <w:pPr>
        <w:numPr>
          <w:ilvl w:val="0"/>
          <w:numId w:val="0"/>
        </w:num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7.3.6</w:t>
      </w: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46CCABAE">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1"/>
          <w:highlight w:val="none"/>
          <w:lang w:val="en-US" w:eastAsia="zh-CN"/>
        </w:rPr>
        <w:t>7.3.7</w:t>
      </w:r>
      <w:r>
        <w:rPr>
          <w:rFonts w:hint="eastAsia" w:ascii="宋体" w:hAnsi="宋体"/>
          <w:color w:val="auto"/>
          <w:sz w:val="24"/>
          <w:szCs w:val="21"/>
          <w:highlight w:val="none"/>
        </w:rPr>
        <w:t>投标保证金交纳证明复印件</w:t>
      </w:r>
      <w:r>
        <w:rPr>
          <w:rFonts w:hint="eastAsia" w:ascii="宋体" w:hAnsi="宋体"/>
          <w:b/>
          <w:bCs/>
          <w:color w:val="auto"/>
          <w:sz w:val="24"/>
          <w:szCs w:val="21"/>
          <w:highlight w:val="none"/>
        </w:rPr>
        <w:t>（银行转账记录）</w:t>
      </w:r>
      <w:r>
        <w:rPr>
          <w:rFonts w:hint="eastAsia" w:ascii="宋体" w:hAnsi="宋体"/>
          <w:color w:val="auto"/>
          <w:sz w:val="24"/>
          <w:szCs w:val="21"/>
          <w:highlight w:val="none"/>
        </w:rPr>
        <w:t>；</w:t>
      </w:r>
    </w:p>
    <w:p w14:paraId="4BE76D28">
      <w:pPr>
        <w:numPr>
          <w:ilvl w:val="0"/>
          <w:numId w:val="0"/>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7.3.8</w:t>
      </w:r>
      <w:r>
        <w:rPr>
          <w:rFonts w:hint="eastAsia" w:ascii="宋体" w:hAnsi="宋体" w:cs="宋体"/>
          <w:color w:val="auto"/>
          <w:sz w:val="24"/>
          <w:szCs w:val="24"/>
          <w:highlight w:val="none"/>
        </w:rPr>
        <w:t>投标人为本项目被授权代表在近三个月内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不含投标当月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任意一个月缴纳的社保证明复印件</w:t>
      </w:r>
      <w:r>
        <w:rPr>
          <w:rFonts w:hint="eastAsia" w:ascii="宋体" w:hAnsi="宋体" w:cs="宋体"/>
          <w:b/>
          <w:bCs/>
          <w:color w:val="auto"/>
          <w:sz w:val="24"/>
          <w:szCs w:val="24"/>
          <w:highlight w:val="none"/>
        </w:rPr>
        <w:t>（提供相关主管部门证明或银行代扣证明，法定代表人亲自参加报价的除外）；</w:t>
      </w:r>
    </w:p>
    <w:p w14:paraId="2DD06217">
      <w:pPr>
        <w:numPr>
          <w:ilvl w:val="0"/>
          <w:numId w:val="0"/>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7.3.9良好的</w:t>
      </w:r>
      <w:r>
        <w:rPr>
          <w:rFonts w:hint="eastAsia" w:ascii="宋体" w:hAnsi="宋体" w:cs="宋体"/>
          <w:color w:val="auto"/>
          <w:sz w:val="24"/>
          <w:szCs w:val="24"/>
          <w:highlight w:val="none"/>
        </w:rPr>
        <w:t>信用记录：未被“信用中国”网站（www.creditchina.gov.cn）列入失信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执行人、重大税收违法案件当事人名单、政府采购严重违法失信名单，或未在“中国政府采购网”网站（www.ccgp.gov.cn）被列入政府采购严重违法失信行为记录名单；</w:t>
      </w:r>
      <w:r>
        <w:rPr>
          <w:rFonts w:hint="eastAsia" w:ascii="宋体" w:hAnsi="宋体" w:cs="宋体"/>
          <w:b/>
          <w:bCs/>
          <w:color w:val="auto"/>
          <w:sz w:val="24"/>
          <w:szCs w:val="24"/>
          <w:highlight w:val="none"/>
        </w:rPr>
        <w:t>（若投标人企业信息已录入以上网站的，无需提供相关证明材料；若投标人企业信息未录入以上网站的，须在投标文件中提供无不良信用记录承诺书）</w:t>
      </w:r>
    </w:p>
    <w:p w14:paraId="0B5DD304">
      <w:pPr>
        <w:numPr>
          <w:ilvl w:val="0"/>
          <w:numId w:val="0"/>
        </w:numPr>
        <w:tabs>
          <w:tab w:val="left" w:pos="0"/>
          <w:tab w:val="left" w:pos="255"/>
        </w:tabs>
        <w:spacing w:line="360" w:lineRule="auto"/>
        <w:ind w:firstLine="480" w:firstLineChars="200"/>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注：以上“近十二个月”是指</w:t>
      </w:r>
      <w:r>
        <w:rPr>
          <w:rFonts w:hint="eastAsia" w:ascii="宋体" w:hAnsi="宋体" w:eastAsia="宋体" w:cs="Times New Roman"/>
          <w:color w:val="auto"/>
          <w:sz w:val="24"/>
          <w:szCs w:val="24"/>
          <w:highlight w:val="none"/>
          <w:lang w:val="zh-CN" w:eastAsia="zh-CN"/>
        </w:rPr>
        <w:t>提交</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lang w:val="zh-CN" w:eastAsia="zh-CN"/>
        </w:rPr>
        <w:t>文件截止</w:t>
      </w:r>
      <w:r>
        <w:rPr>
          <w:rFonts w:hint="eastAsia" w:ascii="宋体" w:hAnsi="宋体" w:eastAsia="宋体" w:cs="Times New Roman"/>
          <w:color w:val="auto"/>
          <w:sz w:val="24"/>
          <w:szCs w:val="24"/>
          <w:highlight w:val="none"/>
          <w:lang w:val="en-US" w:eastAsia="zh-CN"/>
        </w:rPr>
        <w:t>日之前近十二个月（不含报价当月）。</w:t>
      </w:r>
    </w:p>
    <w:bookmarkEnd w:id="21"/>
    <w:p w14:paraId="391A5C77">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bookmarkStart w:id="26" w:name="OLE_LINK114"/>
      <w:r>
        <w:rPr>
          <w:rFonts w:hint="eastAsia" w:ascii="宋体" w:hAnsi="宋体"/>
          <w:color w:val="auto"/>
          <w:sz w:val="24"/>
          <w:szCs w:val="24"/>
          <w:highlight w:val="none"/>
          <w:lang w:val="en-US" w:eastAsia="zh-CN"/>
        </w:rPr>
        <w:t>7.4</w:t>
      </w:r>
      <w:r>
        <w:rPr>
          <w:rFonts w:hint="eastAsia" w:ascii="宋体" w:hAnsi="宋体"/>
          <w:color w:val="auto"/>
          <w:sz w:val="24"/>
          <w:szCs w:val="24"/>
          <w:highlight w:val="none"/>
        </w:rPr>
        <w:t>分包情况说明（如有，格式见附件）。</w:t>
      </w:r>
      <w:bookmarkEnd w:id="26"/>
    </w:p>
    <w:p w14:paraId="13DF6A14">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7.5</w:t>
      </w:r>
      <w:r>
        <w:rPr>
          <w:rFonts w:hint="eastAsia" w:ascii="宋体" w:hAnsi="宋体"/>
          <w:color w:val="auto"/>
          <w:sz w:val="24"/>
          <w:szCs w:val="24"/>
          <w:highlight w:val="none"/>
          <w:lang w:val="zh-CN"/>
        </w:rPr>
        <w:t>技术参数及相关要求偏离表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21FCC8A7">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bookmarkStart w:id="27" w:name="OLE_LINK7"/>
      <w:r>
        <w:rPr>
          <w:rFonts w:hint="eastAsia" w:ascii="宋体" w:hAnsi="宋体"/>
          <w:color w:val="auto"/>
          <w:sz w:val="24"/>
          <w:szCs w:val="24"/>
          <w:highlight w:val="none"/>
          <w:lang w:val="en-US" w:eastAsia="zh-CN"/>
        </w:rPr>
        <w:t>7.6</w:t>
      </w:r>
      <w:r>
        <w:rPr>
          <w:rFonts w:hint="eastAsia" w:ascii="宋体" w:hAnsi="宋体"/>
          <w:color w:val="auto"/>
          <w:sz w:val="24"/>
          <w:szCs w:val="24"/>
          <w:highlight w:val="none"/>
        </w:rPr>
        <w:t>技术商务部分评分导读表</w:t>
      </w:r>
      <w:bookmarkEnd w:id="27"/>
    </w:p>
    <w:p w14:paraId="0A00CA03">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7.7</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val="en-US" w:eastAsia="zh-CN"/>
        </w:rPr>
        <w:t xml:space="preserve"> </w:t>
      </w:r>
      <w:r>
        <w:rPr>
          <w:rFonts w:hint="eastAsia" w:ascii="宋体" w:hAnsi="宋体"/>
          <w:color w:val="auto"/>
          <w:sz w:val="24"/>
          <w:szCs w:val="21"/>
          <w:highlight w:val="none"/>
        </w:rPr>
        <w:t>项目技术要求和有关说明”中要求提供的相关文件、证明材料等</w:t>
      </w:r>
      <w:r>
        <w:rPr>
          <w:rFonts w:hint="eastAsia" w:ascii="宋体" w:hAnsi="宋体"/>
          <w:color w:val="auto"/>
          <w:sz w:val="24"/>
          <w:szCs w:val="24"/>
          <w:highlight w:val="none"/>
        </w:rPr>
        <w:t>（如有自行添加）</w:t>
      </w:r>
    </w:p>
    <w:p w14:paraId="5B822DD2">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7.8</w:t>
      </w:r>
      <w:r>
        <w:rPr>
          <w:rFonts w:hint="eastAsia" w:ascii="宋体" w:hAnsi="宋体"/>
          <w:color w:val="auto"/>
          <w:sz w:val="24"/>
          <w:szCs w:val="24"/>
          <w:highlight w:val="none"/>
          <w:lang w:val="zh-CN"/>
        </w:rPr>
        <w:t>项目人员配置清单</w:t>
      </w:r>
    </w:p>
    <w:p w14:paraId="5798EED1">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7.9</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0B1BB6D0">
      <w:pPr>
        <w:numPr>
          <w:ilvl w:val="0"/>
          <w:numId w:val="0"/>
        </w:numPr>
        <w:tabs>
          <w:tab w:val="left" w:pos="0"/>
          <w:tab w:val="left" w:pos="255"/>
        </w:tabs>
        <w:spacing w:line="360" w:lineRule="auto"/>
        <w:ind w:left="420" w:leftChars="0"/>
        <w:rPr>
          <w:rFonts w:hint="eastAsia" w:ascii="宋体" w:hAnsi="宋体"/>
          <w:color w:val="auto"/>
          <w:sz w:val="24"/>
          <w:szCs w:val="24"/>
          <w:highlight w:val="none"/>
          <w:lang w:val="zh-CN"/>
        </w:rPr>
      </w:pPr>
      <w:bookmarkStart w:id="28" w:name="OLE_LINK116"/>
      <w:r>
        <w:rPr>
          <w:rFonts w:hint="eastAsia" w:ascii="宋体" w:hAnsi="宋体"/>
          <w:color w:val="auto"/>
          <w:sz w:val="24"/>
          <w:szCs w:val="24"/>
          <w:highlight w:val="none"/>
          <w:lang w:val="en-US" w:eastAsia="zh-CN"/>
        </w:rPr>
        <w:t>7.10</w:t>
      </w:r>
      <w:r>
        <w:rPr>
          <w:rFonts w:hint="eastAsia" w:ascii="宋体" w:hAnsi="宋体"/>
          <w:color w:val="auto"/>
          <w:sz w:val="24"/>
          <w:szCs w:val="24"/>
          <w:highlight w:val="none"/>
          <w:lang w:val="zh-CN"/>
        </w:rPr>
        <w:t>要求招标人提供的配合（如有自拟并自行添加）</w:t>
      </w:r>
    </w:p>
    <w:p w14:paraId="072079B6">
      <w:pPr>
        <w:numPr>
          <w:ilvl w:val="0"/>
          <w:numId w:val="0"/>
        </w:numPr>
        <w:tabs>
          <w:tab w:val="left" w:pos="0"/>
          <w:tab w:val="left" w:pos="255"/>
        </w:tabs>
        <w:spacing w:line="360" w:lineRule="auto"/>
        <w:ind w:left="420" w:leftChars="0"/>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7.11</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8"/>
    </w:p>
    <w:bookmarkEnd w:id="16"/>
    <w:bookmarkEnd w:id="17"/>
    <w:bookmarkEnd w:id="18"/>
    <w:bookmarkEnd w:id="19"/>
    <w:p w14:paraId="7FED5017">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7.1-7.8</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9" w:name="OLE_LINK118"/>
      <w:r>
        <w:rPr>
          <w:rFonts w:hint="eastAsia" w:ascii="宋体" w:hAnsi="宋体"/>
          <w:bCs/>
          <w:color w:val="auto"/>
          <w:sz w:val="24"/>
          <w:szCs w:val="24"/>
          <w:highlight w:val="none"/>
          <w:lang w:val="en-US" w:eastAsia="zh-CN"/>
        </w:rPr>
        <w:t>7.3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lang w:val="en-US" w:eastAsia="zh-CN"/>
        </w:rPr>
        <w:t>7.3.5、7.3.6、7.3.8</w:t>
      </w:r>
      <w:r>
        <w:rPr>
          <w:rFonts w:hint="eastAsia" w:ascii="宋体" w:hAnsi="宋体"/>
          <w:bCs/>
          <w:color w:val="auto"/>
          <w:sz w:val="24"/>
          <w:szCs w:val="24"/>
          <w:highlight w:val="none"/>
          <w:lang w:val="zh-CN"/>
        </w:rPr>
        <w:t>项，依法免税或</w:t>
      </w:r>
      <w:bookmarkStart w:id="30" w:name="OLE_LINK19"/>
      <w:r>
        <w:rPr>
          <w:rFonts w:hint="eastAsia" w:ascii="宋体" w:hAnsi="宋体"/>
          <w:bCs/>
          <w:color w:val="auto"/>
          <w:sz w:val="24"/>
          <w:szCs w:val="24"/>
          <w:highlight w:val="none"/>
          <w:lang w:val="zh-CN"/>
        </w:rPr>
        <w:t>不需要缴纳社会保障资金</w:t>
      </w:r>
      <w:bookmarkEnd w:id="30"/>
      <w:r>
        <w:rPr>
          <w:rFonts w:hint="eastAsia" w:ascii="宋体" w:hAnsi="宋体"/>
          <w:bCs/>
          <w:color w:val="auto"/>
          <w:sz w:val="24"/>
          <w:szCs w:val="24"/>
          <w:highlight w:val="none"/>
          <w:lang w:val="zh-CN"/>
        </w:rPr>
        <w:t>的投标人，须在投标文件中提供相应文件证明其依法免税或不需要缴纳社会保障资金。</w:t>
      </w:r>
      <w:bookmarkEnd w:id="29"/>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投标人法定代表人或授权代表为外籍、港、澳、台地区人士的，其身份证明须提供有效的护照或港澳同胞来往内地通行证、台湾同胞来往大陆通行证，或其他可以在中国大陆有效居留的许可证明。</w:t>
      </w:r>
    </w:p>
    <w:p w14:paraId="176A7B6B">
      <w:pPr>
        <w:spacing w:line="360" w:lineRule="auto"/>
        <w:ind w:firstLine="482" w:firstLineChars="200"/>
        <w:rPr>
          <w:rFonts w:hint="eastAsia" w:ascii="宋体" w:hAnsi="宋体"/>
          <w:b/>
          <w:color w:val="auto"/>
          <w:sz w:val="24"/>
          <w:szCs w:val="24"/>
          <w:highlight w:val="none"/>
        </w:rPr>
      </w:pPr>
      <w:bookmarkStart w:id="31" w:name="OLE_LINK219"/>
      <w:r>
        <w:rPr>
          <w:rFonts w:hint="eastAsia" w:ascii="宋体" w:hAnsi="宋体"/>
          <w:b/>
          <w:color w:val="auto"/>
          <w:sz w:val="24"/>
          <w:szCs w:val="24"/>
          <w:highlight w:val="none"/>
        </w:rPr>
        <w:t>8、</w:t>
      </w:r>
      <w:bookmarkStart w:id="32" w:name="_Toc2248"/>
      <w:bookmarkStart w:id="33" w:name="_Toc520356155"/>
      <w:bookmarkStart w:id="34" w:name="_Toc515647770"/>
      <w:bookmarkStart w:id="35" w:name="_Toc19624"/>
      <w:bookmarkStart w:id="36" w:name="_Toc23231"/>
      <w:r>
        <w:rPr>
          <w:rFonts w:hint="eastAsia" w:ascii="宋体" w:hAnsi="宋体"/>
          <w:b/>
          <w:color w:val="auto"/>
          <w:sz w:val="24"/>
          <w:szCs w:val="24"/>
          <w:highlight w:val="none"/>
        </w:rPr>
        <w:t>投标报价</w:t>
      </w:r>
      <w:bookmarkEnd w:id="32"/>
      <w:bookmarkEnd w:id="33"/>
      <w:bookmarkEnd w:id="34"/>
      <w:bookmarkEnd w:id="35"/>
      <w:bookmarkEnd w:id="36"/>
    </w:p>
    <w:bookmarkEnd w:id="31"/>
    <w:p w14:paraId="16C612DE">
      <w:pPr>
        <w:spacing w:line="360" w:lineRule="auto"/>
        <w:ind w:firstLine="480" w:firstLineChars="200"/>
        <w:rPr>
          <w:rFonts w:hint="eastAsia" w:ascii="宋体" w:hAnsi="宋体"/>
          <w:bCs/>
          <w:color w:val="auto"/>
          <w:sz w:val="24"/>
          <w:szCs w:val="24"/>
          <w:highlight w:val="none"/>
          <w:lang w:val="zh-CN"/>
        </w:rPr>
      </w:pPr>
      <w:bookmarkStart w:id="37" w:name="OLE_LINK93"/>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8" w:name="OLE_LINK204"/>
      <w:r>
        <w:rPr>
          <w:rFonts w:hint="eastAsia" w:ascii="宋体" w:hAnsi="宋体"/>
          <w:bCs/>
          <w:color w:val="auto"/>
          <w:sz w:val="24"/>
          <w:szCs w:val="24"/>
          <w:highlight w:val="none"/>
          <w:lang w:val="zh-CN"/>
        </w:rPr>
        <w:t>。</w:t>
      </w:r>
      <w:bookmarkEnd w:id="38"/>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649D4BB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.2 投标报价包含软件设计及开发、硬件仓储及运输、安装调试、试运行及培训指导、售后服务、完成本服务项目发生的所有含税费用、支付给员工的工资和国家强制缴纳的各种社会保障资金，以及投标人认为需要的其他费用等。</w:t>
      </w:r>
    </w:p>
    <w:p w14:paraId="4F20992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5FA4A6FE">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每种服务及货物只能有一个投标报价。招标人不接受具有附加条件的报价。</w:t>
      </w:r>
    </w:p>
    <w:p w14:paraId="1BDAEF1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的制作及密封</w:t>
      </w:r>
    </w:p>
    <w:bookmarkEnd w:id="37"/>
    <w:p w14:paraId="61B6F922">
      <w:pPr>
        <w:spacing w:line="360" w:lineRule="auto"/>
        <w:ind w:firstLine="480" w:firstLineChars="200"/>
        <w:rPr>
          <w:rFonts w:hint="eastAsia" w:ascii="宋体" w:hAnsi="宋体"/>
          <w:bCs/>
          <w:color w:val="auto"/>
          <w:sz w:val="24"/>
          <w:szCs w:val="24"/>
          <w:highlight w:val="none"/>
          <w:lang w:val="zh-CN"/>
        </w:rPr>
      </w:pPr>
      <w:bookmarkStart w:id="39" w:name="OLE_LINK94"/>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bookmarkStart w:id="40" w:name="OLE_LINK203"/>
      <w:r>
        <w:rPr>
          <w:rFonts w:hint="eastAsia" w:ascii="宋体" w:hAnsi="宋体"/>
          <w:bCs/>
          <w:color w:val="auto"/>
          <w:sz w:val="24"/>
          <w:szCs w:val="24"/>
          <w:highlight w:val="none"/>
        </w:rPr>
        <w:t xml:space="preserve"> </w:t>
      </w:r>
      <w:bookmarkEnd w:id="40"/>
      <w:r>
        <w:rPr>
          <w:rFonts w:hint="eastAsia" w:ascii="宋体" w:hAnsi="宋体"/>
          <w:bCs/>
          <w:color w:val="auto"/>
          <w:sz w:val="24"/>
          <w:szCs w:val="24"/>
          <w:highlight w:val="none"/>
          <w:lang w:val="zh-CN"/>
        </w:rPr>
        <w:t>所有文件、往来函件均应使用简体中文（规格、型号辅助符号例外）。</w:t>
      </w:r>
    </w:p>
    <w:p w14:paraId="2D897DC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投标人所使用的计量单位应为国家法定计量单位。</w:t>
      </w:r>
    </w:p>
    <w:p w14:paraId="29FCE46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1"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2" w:name="OLE_LINK225"/>
      <w:r>
        <w:rPr>
          <w:rFonts w:hint="eastAsia" w:ascii="宋体" w:hAnsi="宋体"/>
          <w:bCs/>
          <w:color w:val="auto"/>
          <w:sz w:val="24"/>
          <w:szCs w:val="24"/>
          <w:highlight w:val="none"/>
        </w:rPr>
        <w:t>承诺实质性响应</w:t>
      </w:r>
      <w:bookmarkEnd w:id="42"/>
      <w:r>
        <w:rPr>
          <w:rFonts w:hint="eastAsia" w:ascii="宋体" w:hAnsi="宋体"/>
          <w:bCs/>
          <w:color w:val="auto"/>
          <w:sz w:val="24"/>
          <w:szCs w:val="24"/>
          <w:highlight w:val="none"/>
        </w:rPr>
        <w:t>招标文件的要求。</w:t>
      </w:r>
      <w:bookmarkEnd w:id="41"/>
    </w:p>
    <w:p w14:paraId="5464C01E">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lang w:val="en-US" w:eastAsia="zh-CN"/>
        </w:rPr>
        <w:t>9</w:t>
      </w:r>
      <w:r>
        <w:rPr>
          <w:rFonts w:hint="eastAsia" w:ascii="宋体" w:hAnsi="宋体"/>
          <w:color w:val="auto"/>
          <w:sz w:val="24"/>
          <w:szCs w:val="28"/>
          <w:highlight w:val="none"/>
        </w:rPr>
        <w:t xml:space="preserve">.4 </w:t>
      </w:r>
      <w:bookmarkStart w:id="43" w:name="OLE_LINK120"/>
      <w:bookmarkStart w:id="44"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3"/>
      <w:r>
        <w:rPr>
          <w:rFonts w:hint="eastAsia" w:ascii="宋体" w:hAnsi="宋体"/>
          <w:color w:val="auto"/>
          <w:sz w:val="24"/>
          <w:szCs w:val="28"/>
          <w:highlight w:val="none"/>
        </w:rPr>
        <w:t>并加盖投标人公章。</w:t>
      </w:r>
      <w:bookmarkEnd w:id="44"/>
    </w:p>
    <w:p w14:paraId="2C032F5D">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lang w:val="en-US" w:eastAsia="zh-CN"/>
        </w:rPr>
        <w:t>9</w:t>
      </w:r>
      <w:r>
        <w:rPr>
          <w:rFonts w:hint="eastAsia" w:ascii="宋体" w:hAnsi="宋体"/>
          <w:color w:val="auto"/>
          <w:sz w:val="24"/>
          <w:szCs w:val="28"/>
          <w:highlight w:val="none"/>
        </w:rPr>
        <w:t>.5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5" w:name="OLE_LINK122"/>
      <w:r>
        <w:rPr>
          <w:rFonts w:hint="eastAsia" w:ascii="宋体" w:hAnsi="宋体"/>
          <w:bCs/>
          <w:color w:val="auto"/>
          <w:sz w:val="24"/>
          <w:szCs w:val="24"/>
          <w:highlight w:val="none"/>
        </w:rPr>
        <w:t>注明“正本”“副本”字样</w:t>
      </w:r>
      <w:bookmarkEnd w:id="45"/>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1B941679">
      <w:pPr>
        <w:pStyle w:val="25"/>
        <w:rPr>
          <w:rFonts w:hint="eastAsia"/>
          <w:color w:val="auto"/>
          <w:highlight w:val="none"/>
        </w:rPr>
      </w:pPr>
      <w:r>
        <w:rPr>
          <w:rFonts w:hint="eastAsia" w:cs="Times New Roman"/>
          <w:color w:val="auto"/>
          <w:sz w:val="24"/>
          <w:szCs w:val="28"/>
          <w:highlight w:val="none"/>
          <w:lang w:val="en-US" w:eastAsia="zh-CN"/>
        </w:rPr>
        <w:t>9</w:t>
      </w:r>
      <w:r>
        <w:rPr>
          <w:rFonts w:hint="eastAsia" w:cs="Times New Roman"/>
          <w:color w:val="auto"/>
          <w:sz w:val="24"/>
          <w:szCs w:val="28"/>
          <w:highlight w:val="none"/>
        </w:rPr>
        <w:t>.6纸质投标文件采用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02FA858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0266A4F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.8 </w:t>
      </w:r>
      <w:bookmarkStart w:id="46" w:name="OLE_LINK123"/>
      <w:r>
        <w:rPr>
          <w:rFonts w:hint="eastAsia" w:ascii="宋体" w:hAnsi="宋体"/>
          <w:bCs/>
          <w:color w:val="auto"/>
          <w:sz w:val="24"/>
          <w:szCs w:val="24"/>
          <w:highlight w:val="none"/>
        </w:rPr>
        <w:t>投标人须对投标文件进行密封，同时注明投标人名称。</w:t>
      </w:r>
      <w:bookmarkEnd w:id="46"/>
    </w:p>
    <w:p w14:paraId="031EA39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6CDEAE79">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w:t>
      </w:r>
      <w:r>
        <w:rPr>
          <w:rFonts w:hint="eastAsia" w:ascii="宋体" w:hAnsi="宋体"/>
          <w:color w:val="auto"/>
          <w:sz w:val="24"/>
          <w:szCs w:val="28"/>
          <w:highlight w:val="none"/>
          <w:lang w:val="en-US" w:eastAsia="zh-CN"/>
        </w:rPr>
        <w:t>0</w:t>
      </w:r>
      <w:r>
        <w:rPr>
          <w:rFonts w:hint="eastAsia" w:ascii="宋体" w:hAnsi="宋体"/>
          <w:color w:val="auto"/>
          <w:sz w:val="24"/>
          <w:szCs w:val="28"/>
          <w:highlight w:val="none"/>
        </w:rPr>
        <w:t>.1 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）应对其投标文件中提供的所有材料的真实性负责。</w:t>
      </w:r>
    </w:p>
    <w:p w14:paraId="2FC53A57">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w:t>
      </w:r>
      <w:r>
        <w:rPr>
          <w:rFonts w:hint="eastAsia" w:ascii="宋体" w:hAnsi="宋体"/>
          <w:color w:val="auto"/>
          <w:sz w:val="24"/>
          <w:szCs w:val="28"/>
          <w:highlight w:val="none"/>
          <w:lang w:val="en-US" w:eastAsia="zh-CN"/>
        </w:rPr>
        <w:t>0</w:t>
      </w:r>
      <w:r>
        <w:rPr>
          <w:rFonts w:hint="eastAsia" w:ascii="宋体" w:hAnsi="宋体"/>
          <w:color w:val="auto"/>
          <w:sz w:val="24"/>
          <w:szCs w:val="28"/>
          <w:highlight w:val="none"/>
        </w:rPr>
        <w:t>.2 如</w:t>
      </w:r>
      <w:bookmarkStart w:id="47" w:name="OLE_LINK45"/>
      <w:r>
        <w:rPr>
          <w:rFonts w:hint="eastAsia" w:ascii="宋体" w:hAnsi="宋体"/>
          <w:color w:val="auto"/>
          <w:sz w:val="24"/>
          <w:szCs w:val="28"/>
          <w:highlight w:val="none"/>
          <w:lang w:eastAsia="zh-CN"/>
        </w:rPr>
        <w:t>招标人</w:t>
      </w:r>
      <w:r>
        <w:rPr>
          <w:rFonts w:hint="eastAsia" w:ascii="宋体" w:hAnsi="宋体"/>
          <w:color w:val="auto"/>
          <w:sz w:val="24"/>
          <w:szCs w:val="28"/>
          <w:highlight w:val="none"/>
        </w:rPr>
        <w:t>、</w:t>
      </w:r>
      <w:bookmarkEnd w:id="47"/>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视情况或根据各项法律、法规、规章及相关制度的规定，要求投标人（含中标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）提供投标文件中某材料的原件、其他相关证明性资料等材料，投标人（含中标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）应按照规定的时间、内容、数量等相关要求，予以提供原件、相关证明性资料等材料。如投标人（含中标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）未能按照以上要求予以提供的，将视同该投标人（含中标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）无该材料的原件、相关证明性资料等材料，则投标人（含中标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）的投标文件在该材料上未实质性响应（满足）招标文件的要求。</w:t>
      </w:r>
    </w:p>
    <w:p w14:paraId="34408D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4E67DB93">
      <w:pPr>
        <w:spacing w:line="360" w:lineRule="auto"/>
        <w:ind w:firstLine="480" w:firstLineChars="200"/>
        <w:rPr>
          <w:rFonts w:hint="eastAsia" w:ascii="宋体" w:hAnsi="宋体"/>
          <w:bCs/>
          <w:color w:val="auto"/>
          <w:sz w:val="24"/>
          <w:szCs w:val="24"/>
          <w:highlight w:val="none"/>
        </w:rPr>
      </w:pPr>
      <w:bookmarkStart w:id="48" w:name="OLE_LINK259"/>
      <w:bookmarkStart w:id="49" w:name="OLE_LINK124"/>
      <w:r>
        <w:rPr>
          <w:rFonts w:hint="eastAsia" w:ascii="宋体" w:hAnsi="宋体"/>
          <w:bCs/>
          <w:color w:val="auto"/>
          <w:sz w:val="24"/>
          <w:szCs w:val="24"/>
          <w:highlight w:val="none"/>
        </w:rPr>
        <w:t>投标人应在招标文件规定的</w:t>
      </w:r>
      <w:bookmarkStart w:id="50" w:name="OLE_LINK6"/>
      <w:r>
        <w:rPr>
          <w:rFonts w:hint="eastAsia" w:ascii="宋体" w:hAnsi="宋体"/>
          <w:bCs/>
          <w:color w:val="auto"/>
          <w:sz w:val="24"/>
          <w:szCs w:val="24"/>
          <w:highlight w:val="none"/>
        </w:rPr>
        <w:t>投标</w:t>
      </w:r>
      <w:bookmarkEnd w:id="50"/>
      <w:r>
        <w:rPr>
          <w:rFonts w:hint="eastAsia" w:ascii="宋体" w:hAnsi="宋体"/>
          <w:bCs/>
          <w:color w:val="auto"/>
          <w:sz w:val="24"/>
          <w:szCs w:val="24"/>
          <w:highlight w:val="none"/>
        </w:rPr>
        <w:t>截止时间之前，将投标文件及相关资料送达招标文件指定地点，并递交给</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或采购机构现场工作人员。</w:t>
      </w:r>
      <w:bookmarkEnd w:id="48"/>
    </w:p>
    <w:p w14:paraId="7D4A79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将拒收</w:t>
      </w:r>
    </w:p>
    <w:p w14:paraId="1D0F4F3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w:t>
      </w: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的截止时间之后送达的；</w:t>
      </w:r>
    </w:p>
    <w:p w14:paraId="0DCC263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9"/>
    </w:p>
    <w:bookmarkEnd w:id="49"/>
    <w:p w14:paraId="041792A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的有效期</w:t>
      </w:r>
    </w:p>
    <w:p w14:paraId="1867CA2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的有效期为提交</w:t>
      </w: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截止之日起的60天（含提交当日）。在特殊情况下，</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w:t>
      </w: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的有效期。</w:t>
      </w:r>
    </w:p>
    <w:p w14:paraId="65EB64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的退还</w:t>
      </w:r>
    </w:p>
    <w:p w14:paraId="721ED7E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和采购机构对所有投标人的投标文件一律不予退还。</w:t>
      </w:r>
    </w:p>
    <w:p w14:paraId="58D58A1D">
      <w:pPr>
        <w:spacing w:line="360" w:lineRule="auto"/>
        <w:ind w:firstLine="482" w:firstLineChars="200"/>
        <w:rPr>
          <w:rFonts w:hint="eastAsia" w:ascii="宋体" w:hAnsi="宋体"/>
          <w:b/>
          <w:color w:val="auto"/>
          <w:sz w:val="24"/>
          <w:szCs w:val="24"/>
          <w:highlight w:val="none"/>
        </w:rPr>
      </w:pPr>
      <w:bookmarkStart w:id="51" w:name="OLE_LINK125"/>
      <w:r>
        <w:rPr>
          <w:rFonts w:hint="eastAsia" w:ascii="宋体" w:hAnsi="宋体"/>
          <w:b/>
          <w:color w:val="auto"/>
          <w:sz w:val="24"/>
          <w:szCs w:val="24"/>
          <w:highlight w:val="none"/>
        </w:rPr>
        <w:t>15、</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的修改和撤回</w:t>
      </w:r>
    </w:p>
    <w:bookmarkEnd w:id="51"/>
    <w:p w14:paraId="2A35BFD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2DBBE1D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bookmarkStart w:id="52" w:name="OLE_LINK74"/>
      <w:r>
        <w:rPr>
          <w:rFonts w:hint="eastAsia" w:ascii="宋体" w:hAnsi="宋体"/>
          <w:bCs/>
          <w:color w:val="auto"/>
          <w:sz w:val="24"/>
          <w:szCs w:val="24"/>
          <w:highlight w:val="none"/>
        </w:rPr>
        <w:t>采购机构</w:t>
      </w:r>
      <w:bookmarkEnd w:id="52"/>
      <w:r>
        <w:rPr>
          <w:rFonts w:hint="eastAsia" w:ascii="宋体" w:hAnsi="宋体"/>
          <w:bCs/>
          <w:color w:val="auto"/>
          <w:sz w:val="24"/>
          <w:szCs w:val="24"/>
          <w:highlight w:val="none"/>
        </w:rPr>
        <w:t>、评标委员会不接受投标人主动对其投标文件做任何补充、修改。</w:t>
      </w:r>
    </w:p>
    <w:p w14:paraId="5CD0188A">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56B0906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6DE52BD3">
      <w:pPr>
        <w:numPr>
          <w:ilvl w:val="0"/>
          <w:numId w:val="1"/>
        </w:numPr>
        <w:tabs>
          <w:tab w:val="left" w:pos="425"/>
          <w:tab w:val="clear" w:pos="0"/>
        </w:tabs>
        <w:spacing w:line="360" w:lineRule="auto"/>
        <w:rPr>
          <w:rFonts w:hint="eastAsia" w:ascii="宋体" w:hAnsi="宋体"/>
          <w:bCs/>
          <w:color w:val="auto"/>
          <w:sz w:val="24"/>
          <w:szCs w:val="24"/>
          <w:highlight w:val="none"/>
          <w:lang w:val="zh-CN"/>
        </w:rPr>
      </w:pPr>
      <w:bookmarkStart w:id="53" w:name="OLE_LINK126"/>
      <w:r>
        <w:rPr>
          <w:rFonts w:hint="eastAsia" w:ascii="宋体" w:hAnsi="宋体" w:cs="宋体"/>
          <w:color w:val="auto"/>
          <w:sz w:val="24"/>
          <w:szCs w:val="24"/>
          <w:highlight w:val="none"/>
        </w:rPr>
        <w:t>未按照招标文件的规定提交投标保证金的；</w:t>
      </w:r>
    </w:p>
    <w:p w14:paraId="10C4DA43">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投标文件未按招标文件给定格式如实填写（编写）的或未按要求签署、盖章的；</w:t>
      </w:r>
    </w:p>
    <w:p w14:paraId="38F2AE55">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42B496B6">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投标文件中有招标文件未允许提供的选择性内容的</w:t>
      </w:r>
      <w:r>
        <w:rPr>
          <w:rFonts w:hint="eastAsia" w:ascii="宋体" w:hAnsi="宋体"/>
          <w:bCs/>
          <w:color w:val="auto"/>
          <w:sz w:val="24"/>
          <w:szCs w:val="24"/>
          <w:highlight w:val="none"/>
          <w:lang w:val="zh-CN"/>
        </w:rPr>
        <w:t>；</w:t>
      </w:r>
    </w:p>
    <w:p w14:paraId="6C7CAD3D">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投标文件含有</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不能接受的附加条件的；</w:t>
      </w:r>
    </w:p>
    <w:p w14:paraId="5E3764B8">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00FD0F39">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10BD8CD5">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5AB28B7B">
      <w:pPr>
        <w:numPr>
          <w:ilvl w:val="0"/>
          <w:numId w:val="1"/>
        </w:numPr>
        <w:tabs>
          <w:tab w:val="left" w:pos="425"/>
        </w:tabs>
        <w:spacing w:line="360" w:lineRule="auto"/>
        <w:rPr>
          <w:rFonts w:hint="eastAsia" w:ascii="宋体" w:hAnsi="宋体" w:cs="宋体"/>
          <w:color w:val="auto"/>
          <w:sz w:val="24"/>
          <w:szCs w:val="24"/>
          <w:highlight w:val="none"/>
          <w:lang w:val="zh-CN"/>
        </w:rPr>
      </w:pPr>
      <w:r>
        <w:rPr>
          <w:rFonts w:hint="eastAsia" w:ascii="宋体" w:hAnsi="宋体"/>
          <w:bCs/>
          <w:color w:val="auto"/>
          <w:sz w:val="24"/>
          <w:szCs w:val="24"/>
          <w:highlight w:val="none"/>
        </w:rPr>
        <w:t>属于投标邀请函2.3拒绝参加本次采购活动</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w:t>
      </w:r>
    </w:p>
    <w:p w14:paraId="5113002E">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与其他投标人串通投标的，包括但不限于以下几种情况：</w:t>
      </w:r>
    </w:p>
    <w:p w14:paraId="1DC09D0C">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0F8C8279">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45DD100C">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6199D3DE">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4D50FE31">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不同投标人的投标文件相互混</w:t>
      </w:r>
      <w:r>
        <w:rPr>
          <w:rFonts w:hint="eastAsia" w:ascii="宋体" w:hAnsi="宋体"/>
          <w:bCs/>
          <w:color w:val="auto"/>
          <w:sz w:val="24"/>
          <w:szCs w:val="24"/>
          <w:highlight w:val="none"/>
          <w:lang w:val="zh-CN" w:eastAsia="zh-CN"/>
        </w:rPr>
        <w:t>装；</w:t>
      </w:r>
    </w:p>
    <w:p w14:paraId="29B4031A">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r>
        <w:rPr>
          <w:rFonts w:hint="eastAsia" w:ascii="宋体" w:hAnsi="宋体" w:cs="宋体"/>
          <w:color w:val="auto"/>
          <w:sz w:val="24"/>
          <w:szCs w:val="24"/>
          <w:highlight w:val="none"/>
          <w:lang w:eastAsia="zh-CN"/>
        </w:rPr>
        <w:t>。</w:t>
      </w:r>
    </w:p>
    <w:p w14:paraId="0173C297">
      <w:pPr>
        <w:numPr>
          <w:ilvl w:val="0"/>
          <w:numId w:val="1"/>
        </w:numPr>
        <w:tabs>
          <w:tab w:val="left" w:pos="425"/>
          <w:tab w:val="clear" w:pos="0"/>
        </w:tabs>
        <w:spacing w:line="360" w:lineRule="auto"/>
        <w:rPr>
          <w:rFonts w:hint="eastAsia" w:ascii="宋体" w:hAnsi="宋体"/>
          <w:bCs/>
          <w:color w:val="auto"/>
          <w:sz w:val="24"/>
          <w:szCs w:val="24"/>
          <w:highlight w:val="none"/>
          <w:lang w:val="zh-CN"/>
        </w:rPr>
      </w:pPr>
      <w:bookmarkStart w:id="54" w:name="OLE_LINK81"/>
      <w:r>
        <w:rPr>
          <w:rFonts w:hint="eastAsia" w:ascii="宋体" w:hAnsi="宋体"/>
          <w:bCs/>
          <w:color w:val="auto"/>
          <w:sz w:val="24"/>
          <w:szCs w:val="24"/>
          <w:highlight w:val="none"/>
          <w:lang w:val="zh-CN"/>
        </w:rPr>
        <w:t>提供虚假材料</w:t>
      </w:r>
      <w:bookmarkStart w:id="55" w:name="OLE_LINK137"/>
      <w:r>
        <w:rPr>
          <w:rFonts w:hint="eastAsia" w:ascii="宋体" w:hAnsi="宋体" w:cs="宋体"/>
          <w:color w:val="auto"/>
          <w:sz w:val="24"/>
          <w:szCs w:val="24"/>
          <w:highlight w:val="none"/>
          <w:lang w:val="zh-CN"/>
        </w:rPr>
        <w:t>（含虚假承诺）</w:t>
      </w:r>
      <w:bookmarkEnd w:id="55"/>
      <w:r>
        <w:rPr>
          <w:rFonts w:hint="eastAsia" w:ascii="宋体" w:hAnsi="宋体"/>
          <w:bCs/>
          <w:color w:val="auto"/>
          <w:sz w:val="24"/>
          <w:szCs w:val="24"/>
          <w:highlight w:val="none"/>
          <w:lang w:val="zh-CN"/>
        </w:rPr>
        <w:t>的</w:t>
      </w:r>
      <w:bookmarkEnd w:id="54"/>
      <w:r>
        <w:rPr>
          <w:rFonts w:hint="eastAsia" w:ascii="宋体" w:hAnsi="宋体"/>
          <w:bCs/>
          <w:color w:val="auto"/>
          <w:sz w:val="24"/>
          <w:szCs w:val="24"/>
          <w:highlight w:val="none"/>
          <w:lang w:val="zh-CN"/>
        </w:rPr>
        <w:t>；</w:t>
      </w:r>
    </w:p>
    <w:p w14:paraId="76672D31">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投标文件内容不全、自相矛盾或不符合法律法规和招标文件中规定的其他实质性要求的；</w:t>
      </w:r>
    </w:p>
    <w:p w14:paraId="1DC14E12">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53"/>
    </w:p>
    <w:p w14:paraId="29EC2B39">
      <w:pPr>
        <w:numPr>
          <w:ilvl w:val="0"/>
          <w:numId w:val="3"/>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3AB8440">
      <w:pPr>
        <w:spacing w:line="360" w:lineRule="auto"/>
        <w:ind w:firstLine="480" w:firstLineChars="200"/>
        <w:rPr>
          <w:rFonts w:ascii="宋体" w:hAnsi="宋体" w:cs="宋体"/>
          <w:bCs/>
          <w:sz w:val="24"/>
          <w:szCs w:val="24"/>
        </w:rPr>
      </w:pPr>
      <w:bookmarkStart w:id="56" w:name="OLE_LINK96"/>
      <w:r>
        <w:rPr>
          <w:rFonts w:hint="eastAsia" w:ascii="宋体" w:hAnsi="宋体" w:cs="宋体"/>
          <w:bCs/>
          <w:sz w:val="24"/>
          <w:szCs w:val="24"/>
        </w:rPr>
        <w:t>1</w:t>
      </w:r>
      <w:r>
        <w:rPr>
          <w:rFonts w:hint="eastAsia" w:ascii="宋体" w:hAnsi="宋体" w:cs="宋体"/>
          <w:bCs/>
          <w:sz w:val="24"/>
          <w:szCs w:val="24"/>
          <w:lang w:val="en-US" w:eastAsia="zh-CN"/>
        </w:rPr>
        <w:t>7</w:t>
      </w:r>
      <w:r>
        <w:rPr>
          <w:rFonts w:hint="eastAsia" w:ascii="宋体" w:hAnsi="宋体" w:cs="宋体"/>
          <w:bCs/>
          <w:sz w:val="24"/>
          <w:szCs w:val="24"/>
        </w:rPr>
        <w:t>.1、联合体</w:t>
      </w:r>
    </w:p>
    <w:bookmarkEnd w:id="56"/>
    <w:p w14:paraId="65FD2D91">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本项目不接受联合体。</w:t>
      </w:r>
    </w:p>
    <w:p w14:paraId="3CC9F4DC">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7</w:t>
      </w:r>
      <w:r>
        <w:rPr>
          <w:rFonts w:hint="eastAsia" w:ascii="宋体" w:hAnsi="宋体" w:cs="宋体"/>
          <w:bCs/>
          <w:sz w:val="24"/>
          <w:szCs w:val="24"/>
        </w:rPr>
        <w:t>.2 中标后分包</w:t>
      </w:r>
    </w:p>
    <w:p w14:paraId="2AC365F4">
      <w:pPr>
        <w:spacing w:line="360" w:lineRule="auto"/>
        <w:ind w:firstLine="480" w:firstLineChars="200"/>
        <w:rPr>
          <w:rFonts w:ascii="宋体" w:hAnsi="宋体" w:cs="宋体"/>
          <w:bCs/>
          <w:sz w:val="24"/>
          <w:szCs w:val="24"/>
        </w:rPr>
      </w:pPr>
      <w:r>
        <w:rPr>
          <w:rFonts w:hint="eastAsia" w:ascii="宋体" w:hAnsi="宋体" w:cs="宋体"/>
          <w:bCs/>
          <w:sz w:val="24"/>
          <w:szCs w:val="24"/>
        </w:rPr>
        <w:t>本项目不接受中标后分包。</w:t>
      </w:r>
    </w:p>
    <w:p w14:paraId="62E6604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5237673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BF165A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lang w:val="zh-CN"/>
        </w:rPr>
        <w:t xml:space="preserve">.1 </w:t>
      </w:r>
      <w:bookmarkStart w:id="57" w:name="OLE_LINK276"/>
      <w:r>
        <w:rPr>
          <w:rFonts w:hint="eastAsia" w:ascii="宋体" w:hAnsi="宋体"/>
          <w:bCs/>
          <w:color w:val="auto"/>
          <w:sz w:val="24"/>
          <w:szCs w:val="24"/>
          <w:highlight w:val="none"/>
          <w:lang w:val="zh-CN"/>
        </w:rPr>
        <w:t>招标人按招标文件规定的时间在指定地点召开开标大会，邀请所有投标人代表参加。</w:t>
      </w:r>
    </w:p>
    <w:p w14:paraId="1480F4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7"/>
    <w:p w14:paraId="7347D2CA">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开标时由投标人自行检查其投标文件的密封情况，经确认无误后，招标人或采购机构当众拆封，宣布投标人名称、投标价格（开标一览表</w:t>
      </w:r>
      <w:bookmarkStart w:id="58" w:name="OLE_LINK310"/>
      <w:r>
        <w:rPr>
          <w:rFonts w:hint="eastAsia" w:ascii="宋体" w:hAnsi="宋体"/>
          <w:bCs/>
          <w:color w:val="auto"/>
          <w:sz w:val="24"/>
          <w:szCs w:val="24"/>
          <w:highlight w:val="none"/>
          <w:lang w:val="zh-CN"/>
        </w:rPr>
        <w:t>中合计金额（大写金额）</w:t>
      </w:r>
      <w:bookmarkEnd w:id="58"/>
      <w:r>
        <w:rPr>
          <w:rFonts w:hint="eastAsia" w:ascii="宋体" w:hAnsi="宋体"/>
          <w:bCs/>
          <w:color w:val="auto"/>
          <w:sz w:val="24"/>
          <w:szCs w:val="24"/>
          <w:highlight w:val="none"/>
          <w:lang w:val="zh-CN"/>
        </w:rPr>
        <w:t>）和招标文件规定的需要宣布的其他内容。</w:t>
      </w:r>
    </w:p>
    <w:p w14:paraId="187C525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9" w:name="OLE_LINK130"/>
      <w:r>
        <w:rPr>
          <w:rFonts w:hint="eastAsia" w:ascii="宋体" w:hAnsi="宋体"/>
          <w:bCs/>
          <w:color w:val="auto"/>
          <w:sz w:val="24"/>
          <w:szCs w:val="24"/>
          <w:highlight w:val="none"/>
          <w:lang w:val="zh-CN"/>
        </w:rPr>
        <w:t>过程由招标人或者采购机构负责记录，由参加开标的各投标人代表和相关工作人员签字确认后随招标文件一并存档。</w:t>
      </w:r>
      <w:bookmarkEnd w:id="59"/>
      <w:r>
        <w:rPr>
          <w:rFonts w:hint="eastAsia" w:ascii="宋体" w:hAnsi="宋体"/>
          <w:bCs/>
          <w:color w:val="auto"/>
          <w:sz w:val="24"/>
          <w:szCs w:val="24"/>
          <w:highlight w:val="none"/>
          <w:lang w:val="zh-CN"/>
        </w:rPr>
        <w:t>投标人未参加开标的，视同认可开标结果。</w:t>
      </w:r>
    </w:p>
    <w:p w14:paraId="5EE7F1E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 xml:space="preserve">.4 </w:t>
      </w:r>
      <w:bookmarkStart w:id="60" w:name="OLE_LINK131"/>
      <w:bookmarkStart w:id="61" w:name="OLE_LINK179"/>
      <w:r>
        <w:rPr>
          <w:rFonts w:hint="eastAsia" w:ascii="宋体" w:hAnsi="宋体"/>
          <w:bCs/>
          <w:color w:val="auto"/>
          <w:sz w:val="24"/>
          <w:szCs w:val="24"/>
          <w:highlight w:val="none"/>
        </w:rPr>
        <w:t>投标人对开标过程和开标记录有疑义，以及认为</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、采购机构相关工作人员有需要回避的情形的，应当场提出询问或者回避申请。</w:t>
      </w:r>
      <w:bookmarkEnd w:id="60"/>
      <w:bookmarkStart w:id="62"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61"/>
      <w:bookmarkEnd w:id="62"/>
      <w:r>
        <w:rPr>
          <w:rFonts w:hint="eastAsia" w:ascii="宋体" w:hAnsi="宋体"/>
          <w:bCs/>
          <w:color w:val="auto"/>
          <w:sz w:val="24"/>
          <w:szCs w:val="24"/>
          <w:highlight w:val="none"/>
          <w:lang w:val="zh-CN"/>
        </w:rPr>
        <w:t>。</w:t>
      </w:r>
    </w:p>
    <w:p w14:paraId="602A23A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19</w:t>
      </w:r>
      <w:r>
        <w:rPr>
          <w:rFonts w:hint="eastAsia" w:ascii="宋体" w:hAnsi="宋体"/>
          <w:b/>
          <w:color w:val="auto"/>
          <w:sz w:val="24"/>
          <w:szCs w:val="24"/>
          <w:highlight w:val="none"/>
        </w:rPr>
        <w:t>、资格性审查</w:t>
      </w:r>
    </w:p>
    <w:p w14:paraId="79EA67FB">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lang w:val="en-US" w:eastAsia="zh-CN"/>
        </w:rPr>
        <w:t>19</w:t>
      </w:r>
      <w:r>
        <w:rPr>
          <w:rFonts w:hint="eastAsia" w:ascii="宋体" w:hAnsi="宋体"/>
          <w:bCs/>
          <w:color w:val="auto"/>
          <w:sz w:val="24"/>
          <w:szCs w:val="24"/>
          <w:highlight w:val="none"/>
        </w:rPr>
        <w:t>.1 开标结束后，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现场依法对投标人的资格进行审查。</w:t>
      </w:r>
    </w:p>
    <w:p w14:paraId="519021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2E62B5F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.2 资格审查包括两部分内容：</w:t>
      </w:r>
    </w:p>
    <w:p w14:paraId="70103DDC">
      <w:pPr>
        <w:spacing w:line="360" w:lineRule="auto"/>
        <w:ind w:firstLine="480" w:firstLineChars="200"/>
        <w:rPr>
          <w:rFonts w:hint="eastAsia" w:ascii="宋体" w:hAnsi="宋体" w:cs="宋体"/>
          <w:color w:val="auto"/>
          <w:sz w:val="24"/>
          <w:szCs w:val="24"/>
          <w:highlight w:val="none"/>
        </w:rPr>
      </w:pPr>
      <w:bookmarkStart w:id="63" w:name="OLE_LINK257"/>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 xml:space="preserve">.2.1 </w:t>
      </w:r>
      <w:bookmarkEnd w:id="63"/>
      <w:r>
        <w:rPr>
          <w:rFonts w:hint="eastAsia" w:ascii="宋体" w:hAnsi="宋体" w:cs="宋体"/>
          <w:color w:val="auto"/>
          <w:sz w:val="24"/>
          <w:szCs w:val="24"/>
          <w:highlight w:val="none"/>
        </w:rPr>
        <w:t>按照本须知“</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、投标文件的组成”中“（3）资格证明文件”的要求依法对投标人的资格进行审查。</w:t>
      </w:r>
    </w:p>
    <w:p w14:paraId="49B58D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.2.2 信用查询。</w:t>
      </w:r>
    </w:p>
    <w:p w14:paraId="4464B6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将在资审环节查询投标人的信用记录，投标人存在不良信用记录的，其投标将被认定为投标无效。</w:t>
      </w:r>
    </w:p>
    <w:p w14:paraId="495C36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0EC0FC6B">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将查询网页打印、签字并存档备查。投标人不良信用记录以</w:t>
      </w:r>
      <w:r>
        <w:rPr>
          <w:rFonts w:hint="eastAsia" w:ascii="宋体" w:hAnsi="宋体"/>
          <w:bCs/>
          <w:color w:val="auto"/>
          <w:sz w:val="24"/>
          <w:szCs w:val="24"/>
          <w:highlight w:val="none"/>
          <w:lang w:eastAsia="zh-CN"/>
        </w:rPr>
        <w:t>招标人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5B343D3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、评标</w:t>
      </w:r>
    </w:p>
    <w:p w14:paraId="43F2EA2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.1 具体评标事务由</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依法组建的评标委员会负责。</w:t>
      </w:r>
    </w:p>
    <w:p w14:paraId="51B1CF02">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.2评标委员会对符合资格的投标人的投标文件进行符合性审查，以确定其是否满足招标文件的实质性要求。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章</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项目技术要求和有关说明”部分及其他“必须”或“应（应当）”等文字说明的相关要求。</w:t>
      </w:r>
    </w:p>
    <w:p w14:paraId="4C9AB19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w:t>
      </w:r>
      <w:bookmarkStart w:id="64" w:name="OLE_LINK132"/>
      <w:r>
        <w:rPr>
          <w:rFonts w:hint="eastAsia" w:ascii="宋体" w:hAnsi="宋体"/>
          <w:bCs/>
          <w:color w:val="auto"/>
          <w:sz w:val="24"/>
          <w:szCs w:val="24"/>
          <w:highlight w:val="none"/>
          <w:lang w:val="en-US" w:eastAsia="zh-CN"/>
        </w:rPr>
        <w:t>3</w:t>
      </w:r>
      <w:r>
        <w:rPr>
          <w:rFonts w:hint="eastAsia" w:ascii="宋体" w:hAnsi="宋体"/>
          <w:b/>
          <w:color w:val="auto"/>
          <w:sz w:val="24"/>
          <w:szCs w:val="24"/>
          <w:highlight w:val="none"/>
        </w:rPr>
        <w:t xml:space="preserve"> 澄清有关问题。</w:t>
      </w:r>
      <w:bookmarkEnd w:id="64"/>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07FD3432">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 xml:space="preserve">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进行商务和技术评估，综合比较与评价。</w:t>
      </w:r>
    </w:p>
    <w:p w14:paraId="52360783">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bCs/>
          <w:color w:val="auto"/>
          <w:sz w:val="24"/>
          <w:szCs w:val="24"/>
          <w:highlight w:val="none"/>
          <w:lang w:val="en-US" w:eastAsia="zh-CN"/>
        </w:rPr>
        <w:t>5</w:t>
      </w:r>
      <w:r>
        <w:rPr>
          <w:rFonts w:hint="eastAsia" w:ascii="宋体"/>
          <w:bCs/>
          <w:color w:val="auto"/>
          <w:sz w:val="24"/>
          <w:szCs w:val="24"/>
          <w:highlight w:val="none"/>
        </w:rPr>
        <w:t xml:space="preserve">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2A8205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.1本次招标采用综合评分法。评标委员会</w:t>
      </w:r>
      <w:bookmarkStart w:id="65"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5"/>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B637069">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442FD8E6">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w:t>
      </w:r>
      <w:r>
        <w:rPr>
          <w:rFonts w:hint="eastAsia" w:ascii="宋体" w:hAnsi="宋体"/>
          <w:bCs/>
          <w:color w:val="auto"/>
          <w:sz w:val="24"/>
          <w:szCs w:val="22"/>
          <w:highlight w:val="none"/>
          <w:lang w:eastAsia="zh-CN"/>
        </w:rPr>
        <w:t>投标人</w:t>
      </w:r>
      <w:r>
        <w:rPr>
          <w:rFonts w:hint="eastAsia" w:ascii="宋体" w:hAnsi="宋体"/>
          <w:bCs/>
          <w:color w:val="auto"/>
          <w:sz w:val="24"/>
          <w:szCs w:val="22"/>
          <w:highlight w:val="none"/>
        </w:rPr>
        <w:t>数量，向抽取箱内放入三倍数量以上的号码球；</w:t>
      </w:r>
    </w:p>
    <w:p w14:paraId="0CB2D77D">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2CFB06DA">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12D2D590">
      <w:pPr>
        <w:numPr>
          <w:ilvl w:val="0"/>
          <w:numId w:val="0"/>
        </w:num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14:paraId="2B49368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6" w:name="OLE_LINK201"/>
      <w:r>
        <w:rPr>
          <w:rFonts w:hint="eastAsia" w:ascii="宋体" w:hAnsi="宋体" w:cs="宋体"/>
          <w:color w:val="auto"/>
          <w:sz w:val="24"/>
          <w:szCs w:val="24"/>
          <w:highlight w:val="none"/>
        </w:rPr>
        <w:t>（</w:t>
      </w: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cs="宋体"/>
          <w:color w:val="auto"/>
          <w:sz w:val="24"/>
          <w:szCs w:val="24"/>
          <w:highlight w:val="none"/>
        </w:rPr>
        <w:t>）</w:t>
      </w:r>
      <w:bookmarkEnd w:id="66"/>
      <w:r>
        <w:rPr>
          <w:rFonts w:hint="eastAsia" w:ascii="宋体" w:hAnsi="宋体" w:cs="宋体"/>
          <w:color w:val="auto"/>
          <w:sz w:val="24"/>
          <w:szCs w:val="24"/>
          <w:highlight w:val="none"/>
        </w:rPr>
        <w:t>外，不对投标人的投标价格进行任何调整。</w:t>
      </w:r>
    </w:p>
    <w:p w14:paraId="1C4E59E4">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投标文件报价出现前后不一致的，除招标文件另有规定外，按照下列规定修正：</w:t>
      </w:r>
    </w:p>
    <w:p w14:paraId="4818D510">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4332AA16">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45832E43">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097E5459">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498F0D92">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1D181B4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lang w:val="en-US" w:eastAsia="zh-CN"/>
        </w:rPr>
        <w:t>20.6</w:t>
      </w:r>
      <w:r>
        <w:rPr>
          <w:rFonts w:hint="eastAsia" w:ascii="宋体" w:hAnsi="宋体"/>
          <w:bCs/>
          <w:color w:val="auto"/>
          <w:sz w:val="24"/>
          <w:highlight w:val="none"/>
        </w:rPr>
        <w:t xml:space="preserve">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49E0587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lang w:val="en-US" w:eastAsia="zh-CN"/>
        </w:rPr>
        <w:t>20.7</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招标人</w:t>
      </w:r>
      <w:r>
        <w:rPr>
          <w:rFonts w:hint="eastAsia" w:ascii="宋体" w:hAnsi="宋体"/>
          <w:bCs/>
          <w:color w:val="auto"/>
          <w:sz w:val="24"/>
          <w:highlight w:val="none"/>
        </w:rPr>
        <w:t>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6D8DFE8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、定标</w:t>
      </w:r>
    </w:p>
    <w:p w14:paraId="169A0D2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 xml:space="preserve">.1 </w:t>
      </w:r>
      <w:r>
        <w:rPr>
          <w:rFonts w:hint="eastAsia" w:ascii="宋体" w:hAnsi="宋体"/>
          <w:bCs/>
          <w:color w:val="auto"/>
          <w:sz w:val="24"/>
          <w:szCs w:val="24"/>
          <w:highlight w:val="none"/>
          <w:lang w:val="zh-CN"/>
        </w:rPr>
        <w:t>评审结束后，招标人应当在收到评审报告后5个工作日内，在评审报告推荐的中标候选人中按顺序确定</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w:t>
      </w:r>
    </w:p>
    <w:p w14:paraId="038AF8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招标人和采购代理机构向</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投标人发出中标通知书。</w:t>
      </w:r>
    </w:p>
    <w:p w14:paraId="5F93995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、投标截止后投标人不足3家或者通过资格审查或符合性审查的投标人不足3家的，除采购任务取消情形外，按照以下方式处理：</w:t>
      </w:r>
    </w:p>
    <w:p w14:paraId="40653847">
      <w:pPr>
        <w:numPr>
          <w:ilvl w:val="0"/>
          <w:numId w:val="6"/>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、采购代理机构改正后依法重新招标；</w:t>
      </w:r>
    </w:p>
    <w:p w14:paraId="61086C01">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依法报监管部门批准后可以采用其他采购方式采购。</w:t>
      </w:r>
    </w:p>
    <w:p w14:paraId="5C7508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、废标的确认</w:t>
      </w:r>
    </w:p>
    <w:p w14:paraId="3E1085D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 有下列情形之一的予以废标，同时由</w:t>
      </w:r>
      <w:r>
        <w:rPr>
          <w:rFonts w:hint="eastAsia" w:ascii="宋体" w:hAnsi="宋体"/>
          <w:bCs/>
          <w:color w:val="auto"/>
          <w:sz w:val="24"/>
          <w:highlight w:val="none"/>
          <w:lang w:eastAsia="zh-CN"/>
        </w:rPr>
        <w:t>招标人</w:t>
      </w:r>
      <w:r>
        <w:rPr>
          <w:rFonts w:hint="eastAsia" w:ascii="宋体" w:hAnsi="宋体"/>
          <w:bCs/>
          <w:color w:val="auto"/>
          <w:sz w:val="24"/>
          <w:highlight w:val="none"/>
        </w:rPr>
        <w:t>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29689C2D">
      <w:pPr>
        <w:numPr>
          <w:ilvl w:val="0"/>
          <w:numId w:val="7"/>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1D1C70BF">
      <w:pPr>
        <w:numPr>
          <w:ilvl w:val="0"/>
          <w:numId w:val="7"/>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7521D4B5">
      <w:pPr>
        <w:numPr>
          <w:ilvl w:val="0"/>
          <w:numId w:val="7"/>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投标人的报价均超过采购预算，招标人不能支付；</w:t>
      </w:r>
    </w:p>
    <w:p w14:paraId="53B15B9D">
      <w:pPr>
        <w:numPr>
          <w:ilvl w:val="0"/>
          <w:numId w:val="7"/>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14:paraId="2AC5572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04EF30B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7805723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.2招标活动结束后，</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的投标保证金在合同签订后的五个工作日内无息退还；中标通知书发出后五个工作日内退还未</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5D22472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3投标人</w:t>
      </w:r>
      <w:r>
        <w:rPr>
          <w:rFonts w:hint="eastAsia" w:ascii="宋体" w:hAnsi="宋体"/>
          <w:bCs/>
          <w:color w:val="auto"/>
          <w:sz w:val="24"/>
          <w:szCs w:val="24"/>
          <w:highlight w:val="none"/>
          <w:lang w:val="zh-CN"/>
        </w:rPr>
        <w:t>有下列情形之一的，其交纳的投标保证金不予退还：</w:t>
      </w:r>
    </w:p>
    <w:p w14:paraId="1BCCEA4C">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14:paraId="7A814BF6">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14:paraId="32FE2EB0">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投标人不与招标人签订合同的；</w:t>
      </w:r>
    </w:p>
    <w:p w14:paraId="3B2CF768">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与招标人、其他投标人或者采购代理机构恶意串通的；</w:t>
      </w:r>
    </w:p>
    <w:p w14:paraId="59565C75">
      <w:pPr>
        <w:numPr>
          <w:ilvl w:val="0"/>
          <w:numId w:val="8"/>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14:paraId="73C43E7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57D0ABD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、签订合同</w:t>
      </w:r>
    </w:p>
    <w:p w14:paraId="3DB2786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 xml:space="preserve">.1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1D4D2636">
      <w:pPr>
        <w:spacing w:line="360" w:lineRule="auto"/>
        <w:ind w:firstLine="480" w:firstLineChars="200"/>
        <w:rPr>
          <w:rFonts w:hint="eastAsia" w:ascii="宋体" w:hAnsi="宋体"/>
          <w:bCs/>
          <w:color w:val="auto"/>
          <w:sz w:val="24"/>
          <w:szCs w:val="24"/>
          <w:highlight w:val="none"/>
          <w:lang w:val="zh-CN" w:eastAsia="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中标投标人应于</w:t>
      </w:r>
      <w:r>
        <w:rPr>
          <w:rFonts w:hint="eastAsia" w:ascii="宋体" w:hAnsi="宋体"/>
          <w:bCs/>
          <w:color w:val="auto"/>
          <w:sz w:val="24"/>
          <w:szCs w:val="24"/>
          <w:highlight w:val="none"/>
          <w:lang w:val="zh-CN" w:eastAsia="zh-CN"/>
        </w:rPr>
        <w:t>收到</w:t>
      </w:r>
      <w:r>
        <w:rPr>
          <w:rFonts w:hint="eastAsia" w:ascii="宋体" w:hAnsi="宋体"/>
          <w:bCs/>
          <w:color w:val="auto"/>
          <w:sz w:val="24"/>
          <w:szCs w:val="24"/>
          <w:highlight w:val="none"/>
          <w:lang w:val="zh-CN"/>
        </w:rPr>
        <w:t>中标通知书3</w:t>
      </w:r>
      <w:r>
        <w:rPr>
          <w:rFonts w:hint="eastAsia" w:ascii="宋体" w:hAnsi="宋体"/>
          <w:bCs/>
          <w:color w:val="auto"/>
          <w:sz w:val="24"/>
          <w:szCs w:val="24"/>
          <w:highlight w:val="none"/>
          <w:lang w:val="zh-CN" w:eastAsia="zh-CN"/>
        </w:rPr>
        <w:t>个工作</w:t>
      </w:r>
      <w:r>
        <w:rPr>
          <w:rFonts w:hint="eastAsia" w:ascii="宋体" w:hAnsi="宋体"/>
          <w:bCs/>
          <w:color w:val="auto"/>
          <w:sz w:val="24"/>
          <w:szCs w:val="24"/>
          <w:highlight w:val="none"/>
          <w:lang w:val="zh-CN"/>
        </w:rPr>
        <w:t>日内</w:t>
      </w:r>
      <w:r>
        <w:rPr>
          <w:rFonts w:hint="eastAsia" w:ascii="宋体" w:hAnsi="宋体"/>
          <w:bCs/>
          <w:color w:val="auto"/>
          <w:sz w:val="24"/>
          <w:szCs w:val="24"/>
          <w:highlight w:val="none"/>
          <w:lang w:val="zh-CN" w:eastAsia="zh-CN"/>
        </w:rPr>
        <w:t>须按照招标文件要求交纳履约保证金</w:t>
      </w: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zh-CN" w:eastAsia="zh-CN"/>
        </w:rPr>
        <w:t>若5个工作日内未交纳履约保证金，招标人可没收投标保证金；</w:t>
      </w:r>
    </w:p>
    <w:p w14:paraId="082FFDC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eastAsia="zh-CN"/>
        </w:rPr>
        <w:t>中标投标人应于交纳完履约保证金3个工作日内完成合同编辑并寄出给招标人；若5个工作日内未寄出投标人签字敲章的合同，视为放弃中标，招标人可扣除投标人履约保证金。</w:t>
      </w:r>
    </w:p>
    <w:p w14:paraId="61A053F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中标投标人如逾期不办理相关手续、签订合同，</w:t>
      </w:r>
      <w:r>
        <w:rPr>
          <w:rFonts w:hint="eastAsia" w:ascii="宋体" w:hAnsi="宋体"/>
          <w:bCs/>
          <w:color w:val="auto"/>
          <w:sz w:val="24"/>
          <w:szCs w:val="24"/>
          <w:highlight w:val="none"/>
          <w:lang w:val="en-US" w:eastAsia="zh-CN"/>
        </w:rPr>
        <w:t>监管部门</w:t>
      </w:r>
      <w:r>
        <w:rPr>
          <w:rFonts w:hint="eastAsia" w:ascii="宋体" w:hAnsi="宋体"/>
          <w:bCs/>
          <w:color w:val="auto"/>
          <w:sz w:val="24"/>
          <w:szCs w:val="24"/>
          <w:highlight w:val="none"/>
          <w:lang w:val="zh-CN"/>
        </w:rPr>
        <w:t>将依据有关规定进行处理。</w:t>
      </w:r>
    </w:p>
    <w:p w14:paraId="1D52BDE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如遇特殊情况，招标人及</w:t>
      </w:r>
      <w:r>
        <w:rPr>
          <w:rFonts w:hint="eastAsia" w:ascii="宋体" w:hAnsi="宋体"/>
          <w:bCs/>
          <w:color w:val="auto"/>
          <w:sz w:val="24"/>
          <w:szCs w:val="24"/>
          <w:highlight w:val="none"/>
          <w:lang w:val="en-US" w:eastAsia="zh-CN"/>
        </w:rPr>
        <w:t>监管部门</w:t>
      </w:r>
      <w:r>
        <w:rPr>
          <w:rFonts w:hint="eastAsia" w:ascii="宋体" w:hAnsi="宋体"/>
          <w:bCs/>
          <w:color w:val="auto"/>
          <w:sz w:val="24"/>
          <w:szCs w:val="24"/>
          <w:highlight w:val="none"/>
          <w:lang w:val="zh-CN"/>
        </w:rPr>
        <w:t>可延期签订合同。</w:t>
      </w:r>
    </w:p>
    <w:p w14:paraId="7BE8146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签订合同书及合同条款应以招标文件和中标投标人的投标文件为依据。</w:t>
      </w:r>
    </w:p>
    <w:p w14:paraId="5FF2E923">
      <w:pPr>
        <w:spacing w:line="360" w:lineRule="auto"/>
        <w:ind w:firstLine="480" w:firstLineChars="200"/>
        <w:rPr>
          <w:rFonts w:hint="eastAsia" w:ascii="宋体" w:hAnsi="宋体"/>
          <w:bCs/>
          <w:color w:val="auto"/>
          <w:sz w:val="24"/>
          <w:szCs w:val="24"/>
          <w:highlight w:val="yellow"/>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.4 签订合同前，中标供应商须按下表要求交纳中标合同总金额 10%的履约保证金或者履约保函。</w:t>
      </w:r>
    </w:p>
    <w:tbl>
      <w:tblPr>
        <w:tblStyle w:val="1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3C09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noWrap w:val="0"/>
            <w:vAlign w:val="center"/>
          </w:tcPr>
          <w:p w14:paraId="4A5E8CD0">
            <w:pPr>
              <w:jc w:val="center"/>
              <w:rPr>
                <w:rFonts w:hint="eastAsia" w:hAnsi="宋体"/>
                <w:bCs/>
                <w:color w:val="auto"/>
                <w:szCs w:val="21"/>
                <w:highlight w:val="none"/>
                <w:lang w:val="zh-CN"/>
              </w:rPr>
            </w:pPr>
            <w:bookmarkStart w:id="67" w:name="OLE_LINK136"/>
            <w:r>
              <w:rPr>
                <w:rFonts w:hint="eastAsia"/>
                <w:color w:val="auto"/>
                <w:szCs w:val="21"/>
                <w:highlight w:val="none"/>
              </w:rPr>
              <w:t>交纳履约保证金账户名称</w:t>
            </w:r>
          </w:p>
        </w:tc>
        <w:tc>
          <w:tcPr>
            <w:tcW w:w="3260" w:type="dxa"/>
            <w:noWrap w:val="0"/>
            <w:vAlign w:val="center"/>
          </w:tcPr>
          <w:p w14:paraId="2A75D9CC">
            <w:pPr>
              <w:jc w:val="center"/>
              <w:rPr>
                <w:rFonts w:hint="eastAsia" w:ascii="宋体" w:hAnsi="宋体" w:eastAsia="宋体"/>
                <w:bCs/>
                <w:color w:val="auto"/>
                <w:sz w:val="24"/>
                <w:szCs w:val="21"/>
                <w:highlight w:val="none"/>
                <w:lang w:val="zh-CN" w:eastAsia="zh-CN"/>
              </w:rPr>
            </w:pPr>
            <w:r>
              <w:rPr>
                <w:rFonts w:hint="eastAsia"/>
                <w:color w:val="auto"/>
                <w:highlight w:val="none"/>
                <w:lang w:eastAsia="zh-CN"/>
              </w:rPr>
              <w:t>宜兴市公用</w:t>
            </w:r>
            <w:r>
              <w:rPr>
                <w:rFonts w:hint="eastAsia"/>
                <w:color w:val="auto"/>
                <w:highlight w:val="none"/>
                <w:lang w:val="en-US" w:eastAsia="zh-CN"/>
              </w:rPr>
              <w:t>市政</w:t>
            </w:r>
            <w:r>
              <w:rPr>
                <w:rFonts w:hint="eastAsia"/>
                <w:color w:val="auto"/>
                <w:highlight w:val="none"/>
                <w:lang w:eastAsia="zh-CN"/>
              </w:rPr>
              <w:t>工程有限公司</w:t>
            </w:r>
          </w:p>
        </w:tc>
        <w:tc>
          <w:tcPr>
            <w:tcW w:w="1134" w:type="dxa"/>
            <w:vMerge w:val="restart"/>
            <w:noWrap w:val="0"/>
            <w:vAlign w:val="center"/>
          </w:tcPr>
          <w:p w14:paraId="5EA9B808">
            <w:pPr>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3349AF4D">
            <w:pPr>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6779E1BF">
            <w:pPr>
              <w:jc w:val="center"/>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lang w:val="en-US" w:eastAsia="zh-CN"/>
              </w:rPr>
              <w:t>银行保函</w:t>
            </w:r>
            <w:r>
              <w:rPr>
                <w:rFonts w:hint="eastAsia" w:ascii="宋体" w:hAnsi="宋体"/>
                <w:bCs/>
                <w:color w:val="auto"/>
                <w:szCs w:val="21"/>
                <w:highlight w:val="none"/>
                <w:lang w:val="zh-CN"/>
              </w:rPr>
              <w:t>（不接受其他形式的履约保证金）</w:t>
            </w:r>
          </w:p>
        </w:tc>
      </w:tr>
      <w:tr w14:paraId="2AD9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2E21A763">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260" w:type="dxa"/>
            <w:noWrap w:val="0"/>
            <w:vAlign w:val="center"/>
          </w:tcPr>
          <w:p w14:paraId="6FD66C53">
            <w:pPr>
              <w:jc w:val="center"/>
              <w:rPr>
                <w:rFonts w:hAnsi="宋体"/>
                <w:bCs/>
                <w:color w:val="auto"/>
                <w:szCs w:val="21"/>
                <w:highlight w:val="none"/>
                <w:lang w:val="zh-CN"/>
              </w:rPr>
            </w:pPr>
            <w:r>
              <w:rPr>
                <w:rFonts w:hint="eastAsia" w:hAnsi="宋体"/>
                <w:bCs/>
                <w:color w:val="auto"/>
                <w:szCs w:val="21"/>
                <w:highlight w:val="none"/>
                <w:lang w:val="zh-CN"/>
              </w:rPr>
              <w:t>招商银行宜兴支行</w:t>
            </w:r>
          </w:p>
        </w:tc>
        <w:tc>
          <w:tcPr>
            <w:tcW w:w="1134" w:type="dxa"/>
            <w:vMerge w:val="continue"/>
            <w:noWrap w:val="0"/>
            <w:vAlign w:val="center"/>
          </w:tcPr>
          <w:p w14:paraId="4E1367C7">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4C706A29">
            <w:pPr>
              <w:spacing w:line="360" w:lineRule="auto"/>
              <w:jc w:val="center"/>
              <w:rPr>
                <w:rFonts w:hint="eastAsia" w:ascii="宋体" w:hAnsi="宋体"/>
                <w:bCs/>
                <w:color w:val="auto"/>
                <w:szCs w:val="21"/>
                <w:highlight w:val="none"/>
                <w:lang w:val="zh-CN"/>
              </w:rPr>
            </w:pPr>
          </w:p>
        </w:tc>
      </w:tr>
      <w:tr w14:paraId="4E8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1C6A2144">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260" w:type="dxa"/>
            <w:noWrap w:val="0"/>
            <w:vAlign w:val="center"/>
          </w:tcPr>
          <w:p w14:paraId="44D6A447">
            <w:pPr>
              <w:jc w:val="center"/>
              <w:rPr>
                <w:rFonts w:hAnsi="宋体"/>
                <w:bCs/>
                <w:color w:val="auto"/>
                <w:szCs w:val="21"/>
                <w:highlight w:val="none"/>
                <w:lang w:val="zh-CN"/>
              </w:rPr>
            </w:pPr>
            <w:r>
              <w:rPr>
                <w:rFonts w:hint="eastAsia" w:hAnsi="宋体"/>
                <w:bCs/>
                <w:color w:val="auto"/>
                <w:szCs w:val="21"/>
                <w:highlight w:val="none"/>
                <w:lang w:val="zh-CN"/>
              </w:rPr>
              <w:t>610902131610501</w:t>
            </w:r>
          </w:p>
        </w:tc>
        <w:tc>
          <w:tcPr>
            <w:tcW w:w="1134" w:type="dxa"/>
            <w:vMerge w:val="continue"/>
            <w:noWrap w:val="0"/>
            <w:vAlign w:val="center"/>
          </w:tcPr>
          <w:p w14:paraId="73CDF1DE">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37F593B1">
            <w:pPr>
              <w:spacing w:line="360" w:lineRule="auto"/>
              <w:jc w:val="center"/>
              <w:rPr>
                <w:rFonts w:hint="eastAsia" w:ascii="宋体" w:hAnsi="宋体"/>
                <w:bCs/>
                <w:color w:val="auto"/>
                <w:szCs w:val="21"/>
                <w:highlight w:val="none"/>
                <w:lang w:val="zh-CN"/>
              </w:rPr>
            </w:pPr>
          </w:p>
        </w:tc>
      </w:tr>
      <w:bookmarkEnd w:id="67"/>
    </w:tbl>
    <w:p w14:paraId="2C21F3DF">
      <w:pPr>
        <w:spacing w:line="360" w:lineRule="auto"/>
        <w:ind w:firstLine="480" w:firstLineChars="20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注：履约保证金于合同履约结束之日起三十个工作日内无息退还。</w:t>
      </w:r>
      <w:r>
        <w:rPr>
          <w:rFonts w:hint="eastAsia" w:ascii="宋体" w:hAnsi="宋体"/>
          <w:bCs/>
          <w:color w:val="auto"/>
          <w:sz w:val="24"/>
          <w:szCs w:val="24"/>
          <w:highlight w:val="none"/>
        </w:rPr>
        <w:t>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w:t>
      </w:r>
      <w:r>
        <w:rPr>
          <w:rFonts w:hint="eastAsia" w:ascii="宋体" w:hAnsi="宋体"/>
          <w:bCs/>
          <w:color w:val="auto"/>
          <w:sz w:val="24"/>
          <w:szCs w:val="24"/>
          <w:highlight w:val="none"/>
        </w:rPr>
        <w:t>需提前一个月重新开具银行保函交至</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，否则</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将停付进度款。</w:t>
      </w:r>
    </w:p>
    <w:p w14:paraId="6E6C3F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bookmarkStart w:id="68"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投标人拒绝与招标人签订合同，或因不可抗力或者自身原因不能履行采购合同的，须要有明确的意思表示，并向招标人书面申明放弃合同，招标人可以按照评审报告推荐的中标候选人名单排序，确定下一候选人为中标投标人，也可以重新开展采购活动。无正当理由拒绝签订合同的中标投标人，采购人将不予退还其投标保证金</w:t>
      </w:r>
      <w:r>
        <w:rPr>
          <w:rFonts w:ascii="宋体" w:hAnsi="宋体"/>
          <w:bCs/>
          <w:color w:val="auto"/>
          <w:sz w:val="24"/>
          <w:szCs w:val="24"/>
          <w:highlight w:val="none"/>
          <w:lang w:val="zh-CN"/>
        </w:rPr>
        <w:t>，列入不良行为记录名单，在一至三年内禁止参加</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en-US" w:eastAsia="zh-CN"/>
        </w:rPr>
        <w:t>及其</w:t>
      </w:r>
      <w:r>
        <w:rPr>
          <w:rFonts w:hint="eastAsia" w:ascii="宋体" w:hAnsi="宋体" w:eastAsia="宋体" w:cs="Times New Roman"/>
          <w:bCs/>
          <w:color w:val="auto"/>
          <w:sz w:val="24"/>
          <w:szCs w:val="24"/>
          <w:highlight w:val="none"/>
          <w:lang w:val="en-US" w:eastAsia="zh-CN"/>
        </w:rPr>
        <w:t>所有下属子公司的</w:t>
      </w:r>
      <w:r>
        <w:rPr>
          <w:rFonts w:ascii="宋体" w:hAnsi="宋体"/>
          <w:bCs/>
          <w:color w:val="auto"/>
          <w:sz w:val="24"/>
          <w:szCs w:val="24"/>
          <w:highlight w:val="none"/>
          <w:lang w:val="zh-CN"/>
        </w:rPr>
        <w:t>采购活动</w:t>
      </w:r>
      <w:bookmarkStart w:id="69" w:name="OLE_LINK2"/>
      <w:r>
        <w:rPr>
          <w:rFonts w:hint="eastAsia" w:ascii="宋体" w:hAnsi="宋体"/>
          <w:bCs/>
          <w:color w:val="auto"/>
          <w:sz w:val="24"/>
          <w:szCs w:val="24"/>
          <w:highlight w:val="none"/>
          <w:lang w:val="zh-CN"/>
        </w:rPr>
        <w:t>。</w:t>
      </w:r>
      <w:bookmarkEnd w:id="68"/>
      <w:bookmarkEnd w:id="69"/>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中标投标人不得参加对该项目重新开展的采购活动。</w:t>
      </w:r>
    </w:p>
    <w:p w14:paraId="7899B9F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5A7ECBA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.6</w:t>
      </w:r>
      <w:r>
        <w:rPr>
          <w:rFonts w:hint="eastAsia" w:ascii="宋体" w:hAnsi="宋体"/>
          <w:bCs/>
          <w:color w:val="auto"/>
          <w:sz w:val="24"/>
          <w:szCs w:val="24"/>
          <w:highlight w:val="none"/>
          <w:lang w:val="zh-CN"/>
        </w:rPr>
        <w:t xml:space="preserve"> 采购合同履行中，采购人需追加与合同标的相同服务的，在不改变合同其他条款的前提下，采购金额不得超过原合同采购金额的百分之十。</w:t>
      </w:r>
    </w:p>
    <w:p w14:paraId="092CA74B">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510A325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、投标行为：</w:t>
      </w:r>
    </w:p>
    <w:p w14:paraId="14B1979F">
      <w:pPr>
        <w:numPr>
          <w:ilvl w:val="0"/>
          <w:numId w:val="9"/>
        </w:numPr>
        <w:spacing w:line="360" w:lineRule="auto"/>
        <w:rPr>
          <w:rFonts w:hint="eastAsia" w:ascii="宋体" w:hAnsi="宋体"/>
          <w:bCs/>
          <w:color w:val="auto"/>
          <w:sz w:val="24"/>
          <w:szCs w:val="24"/>
          <w:highlight w:val="none"/>
          <w:lang w:val="zh-CN"/>
        </w:rPr>
      </w:pPr>
      <w:bookmarkStart w:id="70" w:name="OLE_LINK184"/>
      <w:r>
        <w:rPr>
          <w:rFonts w:hint="eastAsia" w:ascii="宋体" w:hAnsi="宋体"/>
          <w:bCs/>
          <w:color w:val="auto"/>
          <w:sz w:val="24"/>
          <w:szCs w:val="24"/>
          <w:highlight w:val="none"/>
          <w:lang w:val="zh-CN"/>
        </w:rPr>
        <w:t>投标人的投标行为必须遵守各项法律、法规、规章及相关制度的规定。</w:t>
      </w:r>
    </w:p>
    <w:p w14:paraId="709C7FE6">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14:paraId="73D47A95">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7E4C2336">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w:t>
      </w:r>
      <w:r>
        <w:rPr>
          <w:rFonts w:hint="eastAsia" w:ascii="宋体" w:hAnsi="宋体"/>
          <w:bCs/>
          <w:color w:val="auto"/>
          <w:sz w:val="24"/>
          <w:highlight w:val="none"/>
          <w:lang w:eastAsia="zh-CN"/>
        </w:rPr>
        <w:t>投标人</w:t>
      </w:r>
      <w:r>
        <w:rPr>
          <w:rFonts w:hint="eastAsia" w:ascii="宋体" w:hAnsi="宋体"/>
          <w:bCs/>
          <w:color w:val="auto"/>
          <w:sz w:val="24"/>
          <w:highlight w:val="none"/>
        </w:rPr>
        <w:t>应提供平滑升级商品不补差价（招标文件中有特殊要求的除外）。</w:t>
      </w:r>
    </w:p>
    <w:p w14:paraId="2C9CD16C">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49E4E5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1959E61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w:t>
      </w:r>
      <w:bookmarkEnd w:id="70"/>
      <w:r>
        <w:rPr>
          <w:rFonts w:hint="eastAsia" w:ascii="宋体" w:hAnsi="宋体"/>
          <w:bCs/>
          <w:color w:val="auto"/>
          <w:sz w:val="24"/>
          <w:szCs w:val="24"/>
          <w:highlight w:val="none"/>
          <w:lang w:val="zh-CN"/>
        </w:rPr>
        <w:t>招标人将按照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w:t>
      </w:r>
      <w:r>
        <w:rPr>
          <w:rFonts w:hint="eastAsia" w:ascii="宋体" w:hAnsi="宋体"/>
          <w:bCs/>
          <w:color w:val="auto"/>
          <w:sz w:val="24"/>
          <w:szCs w:val="24"/>
          <w:highlight w:val="none"/>
          <w:lang w:val="zh-CN"/>
        </w:rPr>
        <w:t>投标人的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。由招标人对中标投标人进行履约管理，并及时向中标投标人支付采购资金。</w:t>
      </w:r>
    </w:p>
    <w:p w14:paraId="22DEC5B2">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6A33C97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、询问</w:t>
      </w:r>
    </w:p>
    <w:p w14:paraId="43A0A392">
      <w:pPr>
        <w:spacing w:line="360" w:lineRule="auto"/>
        <w:ind w:firstLine="480" w:firstLineChars="200"/>
        <w:rPr>
          <w:rFonts w:hint="eastAsia" w:ascii="宋体" w:hAnsi="宋体"/>
          <w:bCs/>
          <w:color w:val="auto"/>
          <w:sz w:val="24"/>
          <w:szCs w:val="24"/>
          <w:highlight w:val="none"/>
          <w:lang w:val="zh-CN"/>
        </w:rPr>
      </w:pPr>
      <w:bookmarkStart w:id="71" w:name="OLE_LINK22"/>
      <w:r>
        <w:rPr>
          <w:rFonts w:hint="eastAsia" w:ascii="宋体" w:hAnsi="宋体"/>
          <w:bCs/>
          <w:color w:val="auto"/>
          <w:sz w:val="24"/>
          <w:szCs w:val="24"/>
          <w:highlight w:val="none"/>
          <w:lang w:val="zh-CN"/>
        </w:rPr>
        <w:t>投标人对采购活动事项有疑问的，可以向招标人提出询问，招标人将在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个工作日内作出答复，但答复的内容不得涉及商业秘密；投标人也可以向招标人委托的代理机构提出询问，代理机构就招标人委托授权范围内的事项作出答复。</w:t>
      </w:r>
      <w:bookmarkEnd w:id="71"/>
    </w:p>
    <w:p w14:paraId="3B390D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、质疑</w:t>
      </w:r>
    </w:p>
    <w:p w14:paraId="4EA9C187">
      <w:pPr>
        <w:spacing w:line="360" w:lineRule="auto"/>
        <w:ind w:firstLine="480" w:firstLineChars="200"/>
        <w:rPr>
          <w:rFonts w:hint="eastAsia" w:ascii="宋体" w:hAnsi="宋体"/>
          <w:b/>
          <w:color w:val="auto"/>
          <w:sz w:val="24"/>
          <w:szCs w:val="24"/>
          <w:highlight w:val="none"/>
          <w:lang w:val="zh-CN"/>
        </w:rPr>
      </w:pPr>
      <w:bookmarkStart w:id="72" w:name="OLE_LINK23"/>
      <w:bookmarkStart w:id="73" w:name="OLE_LINK142"/>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.1 </w:t>
      </w:r>
      <w:r>
        <w:rPr>
          <w:rFonts w:hint="eastAsia" w:ascii="宋体" w:hAnsi="宋体" w:cs="宋体"/>
          <w:bCs/>
          <w:sz w:val="24"/>
          <w:szCs w:val="24"/>
          <w:lang w:val="zh-CN"/>
        </w:rPr>
        <w:t>投标人</w:t>
      </w:r>
      <w:bookmarkStart w:id="74" w:name="OLE_LINK140"/>
      <w:r>
        <w:rPr>
          <w:rFonts w:hint="eastAsia" w:ascii="宋体" w:hAnsi="宋体" w:cs="宋体"/>
          <w:bCs/>
          <w:sz w:val="24"/>
          <w:szCs w:val="24"/>
          <w:lang w:val="zh-CN"/>
        </w:rPr>
        <w:t>认为招标文件、采购过程和中标、中标结果使自己的权益受到损害的，</w:t>
      </w:r>
      <w:bookmarkStart w:id="75" w:name="OLE_LINK44"/>
      <w:r>
        <w:rPr>
          <w:rFonts w:hint="eastAsia" w:ascii="宋体" w:hAnsi="宋体" w:cs="宋体"/>
          <w:bCs/>
          <w:sz w:val="24"/>
          <w:szCs w:val="24"/>
          <w:lang w:val="zh-CN"/>
        </w:rPr>
        <w:t>可以在知道或者应当知道其权益受到损害之日起七个工作日内，</w:t>
      </w:r>
      <w:bookmarkEnd w:id="74"/>
      <w:bookmarkEnd w:id="75"/>
      <w:r>
        <w:rPr>
          <w:rFonts w:hint="eastAsia" w:ascii="宋体" w:hAnsi="宋体" w:cs="宋体"/>
          <w:bCs/>
          <w:sz w:val="24"/>
          <w:szCs w:val="24"/>
          <w:lang w:val="zh-CN"/>
        </w:rPr>
        <w:t>以书面形式向招标人提出质疑。</w:t>
      </w:r>
    </w:p>
    <w:p w14:paraId="12F5346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en-US" w:eastAsia="zh-CN"/>
        </w:rPr>
        <w:t>29.2</w:t>
      </w:r>
      <w:r>
        <w:rPr>
          <w:rFonts w:hint="eastAsia" w:ascii="宋体" w:hAnsi="宋体"/>
          <w:b/>
          <w:color w:val="auto"/>
          <w:sz w:val="24"/>
          <w:szCs w:val="24"/>
          <w:highlight w:val="none"/>
          <w:lang w:val="zh-CN"/>
        </w:rPr>
        <w:t>质疑答复责任主体：</w:t>
      </w:r>
    </w:p>
    <w:p w14:paraId="1B979F4E">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hint="eastAsia" w:ascii="宋体" w:hAnsi="宋体"/>
          <w:b/>
          <w:color w:val="auto"/>
          <w:sz w:val="24"/>
          <w:szCs w:val="24"/>
          <w:highlight w:val="none"/>
          <w:lang w:val="zh-CN"/>
        </w:rPr>
        <w:t>招标文件</w:t>
      </w:r>
      <w:r>
        <w:rPr>
          <w:rFonts w:ascii="宋体" w:hAnsi="宋体"/>
          <w:b/>
          <w:color w:val="auto"/>
          <w:sz w:val="24"/>
          <w:szCs w:val="24"/>
          <w:highlight w:val="none"/>
          <w:lang w:val="zh-CN"/>
        </w:rPr>
        <w:t>、采购过程和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w:t>
      </w:r>
      <w:r>
        <w:rPr>
          <w:rFonts w:hint="eastAsia" w:ascii="宋体" w:hAnsi="宋体"/>
          <w:bCs/>
          <w:color w:val="auto"/>
          <w:sz w:val="24"/>
          <w:szCs w:val="24"/>
          <w:highlight w:val="none"/>
          <w:lang w:val="zh-CN"/>
        </w:rPr>
        <w:t>招标人</w:t>
      </w:r>
      <w:r>
        <w:rPr>
          <w:rFonts w:ascii="宋体" w:hAnsi="宋体"/>
          <w:bCs/>
          <w:color w:val="auto"/>
          <w:sz w:val="24"/>
          <w:szCs w:val="24"/>
          <w:highlight w:val="none"/>
          <w:lang w:val="zh-CN"/>
        </w:rPr>
        <w:t>提出质疑。</w:t>
      </w:r>
    </w:p>
    <w:p w14:paraId="5C4EF19B">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使自己的权益受到损害的，可以向招标人提出质疑，也可以在法律规定时间内向采购代理机构提出质疑，采购代理机构就招标人委托授权范围内的事项作出答复。</w:t>
      </w:r>
      <w:bookmarkEnd w:id="72"/>
    </w:p>
    <w:p w14:paraId="5E22A70E">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.3 </w:t>
      </w:r>
      <w:bookmarkStart w:id="76"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6"/>
    </w:p>
    <w:p w14:paraId="42D5B2F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对符合法定质疑条件的质疑，被质疑人在受理后的七个工作日内进行书面答复。</w:t>
      </w:r>
    </w:p>
    <w:p w14:paraId="48FE9FC1">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恶意质疑或提交虚假质疑一经查实，被质疑人有权依据政府采购法的有</w:t>
      </w:r>
      <w:r>
        <w:rPr>
          <w:rFonts w:hint="eastAsia" w:ascii="宋体" w:hAnsi="宋体" w:eastAsia="宋体" w:cs="Times New Roman"/>
          <w:bCs/>
          <w:color w:val="auto"/>
          <w:sz w:val="24"/>
          <w:szCs w:val="24"/>
          <w:highlight w:val="none"/>
          <w:lang w:val="zh-CN"/>
        </w:rPr>
        <w:t>关规定，报请采购监管部门对该质疑人进行相应处罚。</w:t>
      </w:r>
    </w:p>
    <w:bookmarkEnd w:id="73"/>
    <w:p w14:paraId="013460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b/>
          <w:bCs w:val="0"/>
          <w:color w:val="auto"/>
          <w:sz w:val="24"/>
          <w:szCs w:val="24"/>
          <w:highlight w:val="none"/>
          <w:lang w:val="zh-CN"/>
        </w:rPr>
      </w:pPr>
      <w:bookmarkStart w:id="77" w:name="_Toc23122"/>
      <w:r>
        <w:rPr>
          <w:rFonts w:hint="eastAsia" w:ascii="宋体" w:hAnsi="宋体"/>
          <w:b/>
          <w:bCs w:val="0"/>
          <w:color w:val="auto"/>
          <w:sz w:val="24"/>
          <w:szCs w:val="24"/>
          <w:highlight w:val="none"/>
          <w:lang w:val="en-US" w:eastAsia="zh-CN"/>
        </w:rPr>
        <w:t xml:space="preserve">30、 </w:t>
      </w:r>
      <w:r>
        <w:rPr>
          <w:rFonts w:hint="eastAsia" w:ascii="宋体" w:hAnsi="宋体"/>
          <w:b/>
          <w:bCs w:val="0"/>
          <w:color w:val="auto"/>
          <w:sz w:val="24"/>
          <w:szCs w:val="24"/>
          <w:highlight w:val="none"/>
        </w:rPr>
        <w:t>投诉</w:t>
      </w:r>
    </w:p>
    <w:p w14:paraId="459881C9">
      <w:pPr>
        <w:spacing w:line="360" w:lineRule="auto"/>
        <w:ind w:right="-426" w:rightChars="-203" w:firstLine="480" w:firstLineChars="200"/>
        <w:jc w:val="left"/>
        <w:outlineLvl w:val="0"/>
        <w:rPr>
          <w:rFonts w:ascii="宋体" w:hAnsi="宋体" w:cs="宋体"/>
          <w:sz w:val="28"/>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.1</w:t>
      </w:r>
      <w:r>
        <w:rPr>
          <w:rFonts w:ascii="宋体" w:hAnsi="宋体"/>
          <w:bCs/>
          <w:color w:val="auto"/>
          <w:sz w:val="24"/>
          <w:szCs w:val="24"/>
          <w:highlight w:val="none"/>
          <w:lang w:val="zh-CN"/>
        </w:rPr>
        <w:t>质疑</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对</w:t>
      </w:r>
      <w:r>
        <w:rPr>
          <w:rFonts w:hint="eastAsia" w:ascii="宋体" w:hAnsi="宋体"/>
          <w:bCs/>
          <w:color w:val="auto"/>
          <w:sz w:val="24"/>
          <w:szCs w:val="24"/>
          <w:highlight w:val="none"/>
          <w:lang w:val="zh-CN"/>
        </w:rPr>
        <w:t>招标人</w:t>
      </w:r>
      <w:r>
        <w:rPr>
          <w:rFonts w:ascii="宋体" w:hAnsi="宋体"/>
          <w:bCs/>
          <w:color w:val="auto"/>
          <w:sz w:val="24"/>
          <w:szCs w:val="24"/>
          <w:highlight w:val="none"/>
          <w:lang w:val="zh-CN"/>
        </w:rPr>
        <w:t>的答复不满意或者</w:t>
      </w:r>
      <w:r>
        <w:rPr>
          <w:rFonts w:hint="eastAsia" w:ascii="宋体" w:hAnsi="宋体"/>
          <w:bCs/>
          <w:color w:val="auto"/>
          <w:sz w:val="24"/>
          <w:szCs w:val="24"/>
          <w:highlight w:val="none"/>
          <w:lang w:val="zh-CN"/>
        </w:rPr>
        <w:t>招标人</w:t>
      </w:r>
      <w:r>
        <w:rPr>
          <w:rFonts w:ascii="宋体" w:hAnsi="宋体"/>
          <w:bCs/>
          <w:color w:val="auto"/>
          <w:sz w:val="24"/>
          <w:szCs w:val="24"/>
          <w:highlight w:val="none"/>
          <w:lang w:val="zh-CN"/>
        </w:rPr>
        <w:t>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r>
        <w:rPr>
          <w:rFonts w:hint="eastAsia" w:ascii="宋体" w:hAnsi="宋体"/>
          <w:bCs/>
          <w:color w:val="auto"/>
          <w:sz w:val="24"/>
          <w:szCs w:val="24"/>
          <w:highlight w:val="none"/>
        </w:rPr>
        <w:br w:type="page"/>
      </w:r>
      <w:bookmarkStart w:id="78" w:name="_Toc12653"/>
      <w:r>
        <w:rPr>
          <w:rFonts w:hint="eastAsia" w:ascii="宋体" w:hAnsi="宋体"/>
          <w:bCs/>
          <w:color w:val="auto"/>
          <w:sz w:val="24"/>
          <w:szCs w:val="24"/>
          <w:highlight w:val="none"/>
          <w:lang w:val="en-US" w:eastAsia="zh-CN"/>
        </w:rPr>
        <w:t xml:space="preserve">               </w:t>
      </w:r>
      <w:bookmarkEnd w:id="77"/>
      <w:bookmarkEnd w:id="78"/>
      <w:bookmarkStart w:id="79" w:name="_Toc25105"/>
      <w:bookmarkStart w:id="80" w:name="_Toc30976"/>
      <w:r>
        <w:rPr>
          <w:rFonts w:hint="eastAsia" w:ascii="宋体" w:hAnsi="宋体" w:cs="宋体"/>
          <w:sz w:val="28"/>
        </w:rPr>
        <w:t>第</w:t>
      </w:r>
      <w:r>
        <w:rPr>
          <w:rFonts w:hint="eastAsia" w:ascii="宋体" w:hAnsi="宋体" w:cs="宋体"/>
          <w:sz w:val="28"/>
          <w:lang w:val="en-US" w:eastAsia="zh-CN"/>
        </w:rPr>
        <w:t>三</w:t>
      </w:r>
      <w:r>
        <w:rPr>
          <w:rFonts w:hint="eastAsia" w:ascii="宋体" w:hAnsi="宋体" w:cs="宋体"/>
          <w:sz w:val="28"/>
        </w:rPr>
        <w:t>章 项目技术要求和有关说明</w:t>
      </w:r>
    </w:p>
    <w:p w14:paraId="06B7CBAC">
      <w:pPr>
        <w:snapToGrid w:val="0"/>
        <w:spacing w:line="360" w:lineRule="auto"/>
        <w:rPr>
          <w:rStyle w:val="30"/>
          <w:rFonts w:ascii="宋体" w:hAnsi="宋体" w:cs="宋体"/>
          <w:b/>
          <w:bCs/>
          <w:sz w:val="24"/>
          <w:szCs w:val="24"/>
        </w:rPr>
      </w:pPr>
      <w:r>
        <w:rPr>
          <w:rStyle w:val="30"/>
          <w:rFonts w:hint="eastAsia" w:ascii="宋体" w:hAnsi="宋体" w:cs="宋体"/>
          <w:b/>
          <w:bCs/>
          <w:sz w:val="24"/>
          <w:szCs w:val="24"/>
        </w:rPr>
        <w:t>一、项目概况</w:t>
      </w:r>
    </w:p>
    <w:p w14:paraId="6C683E78">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本项目是宜兴市公用市政工程有限公司的</w:t>
      </w:r>
      <w:bookmarkStart w:id="81" w:name="OLE_LINK9"/>
      <w:r>
        <w:rPr>
          <w:rFonts w:hint="eastAsia" w:ascii="宋体" w:hAnsi="宋体"/>
          <w:bCs/>
          <w:color w:val="auto"/>
          <w:sz w:val="24"/>
          <w:szCs w:val="24"/>
          <w:highlight w:val="none"/>
          <w:lang w:val="zh-CN"/>
        </w:rPr>
        <w:t>太湖内源污染治理(太湖西岸宜兴近岸区域)一期工程</w:t>
      </w:r>
      <w:bookmarkEnd w:id="81"/>
      <w:r>
        <w:rPr>
          <w:rFonts w:hint="eastAsia" w:ascii="宋体" w:hAnsi="宋体"/>
          <w:bCs/>
          <w:color w:val="auto"/>
          <w:sz w:val="24"/>
          <w:szCs w:val="24"/>
          <w:highlight w:val="none"/>
          <w:lang w:val="zh-CN"/>
        </w:rPr>
        <w:t>临时用地组卷报批服务。</w:t>
      </w:r>
    </w:p>
    <w:p w14:paraId="1ACAA17B">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为了综合治理太湖水环境，太湖内源污染治理(太湖西岸宜兴近岸区域)一期工程，总投资1</w:t>
      </w:r>
      <w:r>
        <w:rPr>
          <w:rFonts w:ascii="宋体" w:hAnsi="宋体"/>
          <w:bCs/>
          <w:color w:val="auto"/>
          <w:sz w:val="24"/>
          <w:szCs w:val="24"/>
          <w:highlight w:val="none"/>
          <w:lang w:val="zh-CN"/>
        </w:rPr>
        <w:t>.35</w:t>
      </w:r>
      <w:r>
        <w:rPr>
          <w:rFonts w:hint="eastAsia" w:ascii="宋体" w:hAnsi="宋体"/>
          <w:bCs/>
          <w:color w:val="auto"/>
          <w:sz w:val="24"/>
          <w:szCs w:val="24"/>
          <w:highlight w:val="none"/>
          <w:lang w:val="zh-CN"/>
        </w:rPr>
        <w:t>亿元，对太湖宜兴西沿岸水域进行生态清淤，清淤面积约2.95平方公里，平均清淤深度0.25m，总方量约75万㎡。本项目采用环保绞吸式挖泥船进行底泥疏浚，清出底泥通过排泥管运输至陆上固化场进行板框压滤固化，固结后外运处置，余水处理方法采用物理沉淀+化学絮凝+微生物+曝气。本项目临时用地面积总面积约3</w:t>
      </w:r>
      <w:r>
        <w:rPr>
          <w:rFonts w:ascii="宋体" w:hAnsi="宋体"/>
          <w:bCs/>
          <w:color w:val="auto"/>
          <w:sz w:val="24"/>
          <w:szCs w:val="24"/>
          <w:highlight w:val="none"/>
          <w:lang w:val="zh-CN"/>
        </w:rPr>
        <w:t>8.21公顷，其中农用地</w:t>
      </w:r>
      <w:r>
        <w:rPr>
          <w:rFonts w:hint="eastAsia" w:ascii="宋体" w:hAnsi="宋体"/>
          <w:bCs/>
          <w:color w:val="auto"/>
          <w:sz w:val="24"/>
          <w:szCs w:val="24"/>
          <w:highlight w:val="none"/>
          <w:lang w:val="zh-CN"/>
        </w:rPr>
        <w:t>3</w:t>
      </w:r>
      <w:r>
        <w:rPr>
          <w:rFonts w:ascii="宋体" w:hAnsi="宋体"/>
          <w:bCs/>
          <w:color w:val="auto"/>
          <w:sz w:val="24"/>
          <w:szCs w:val="24"/>
          <w:highlight w:val="none"/>
          <w:lang w:val="zh-CN"/>
        </w:rPr>
        <w:t>8.10</w:t>
      </w:r>
      <w:r>
        <w:rPr>
          <w:rFonts w:hint="eastAsia" w:ascii="宋体" w:hAnsi="宋体"/>
          <w:bCs/>
          <w:color w:val="auto"/>
          <w:sz w:val="24"/>
          <w:szCs w:val="24"/>
          <w:highlight w:val="none"/>
          <w:lang w:val="zh-CN"/>
        </w:rPr>
        <w:t>公顷，建设用地0</w:t>
      </w:r>
      <w:r>
        <w:rPr>
          <w:rFonts w:ascii="宋体" w:hAnsi="宋体"/>
          <w:bCs/>
          <w:color w:val="auto"/>
          <w:sz w:val="24"/>
          <w:szCs w:val="24"/>
          <w:highlight w:val="none"/>
          <w:lang w:val="zh-CN"/>
        </w:rPr>
        <w:t>.11公顷。</w:t>
      </w:r>
    </w:p>
    <w:p w14:paraId="6AA1AD52">
      <w:pPr>
        <w:spacing w:line="360" w:lineRule="auto"/>
        <w:ind w:right="-426" w:rightChars="-203" w:firstLine="482" w:firstLineChars="200"/>
        <w:jc w:val="left"/>
        <w:outlineLvl w:val="0"/>
        <w:rPr>
          <w:rFonts w:ascii="宋体" w:hAnsi="宋体"/>
          <w:b/>
          <w:bCs w:val="0"/>
          <w:color w:val="auto"/>
          <w:sz w:val="24"/>
          <w:szCs w:val="24"/>
          <w:highlight w:val="none"/>
          <w:lang w:val="zh-CN"/>
        </w:rPr>
      </w:pPr>
      <w:r>
        <w:rPr>
          <w:rFonts w:hint="eastAsia" w:ascii="宋体" w:hAnsi="宋体"/>
          <w:b/>
          <w:bCs w:val="0"/>
          <w:color w:val="auto"/>
          <w:sz w:val="24"/>
          <w:szCs w:val="24"/>
          <w:highlight w:val="none"/>
          <w:lang w:val="zh-CN"/>
        </w:rPr>
        <w:t>二、服务范围</w:t>
      </w:r>
    </w:p>
    <w:p w14:paraId="5783011F">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1、太湖内源污染治理(太湖西岸宜兴近岸区域)一期工程临时用地组卷报批服务。</w:t>
      </w:r>
    </w:p>
    <w:p w14:paraId="57CEF666">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内容包括：临时用地申请书，包含临时用地申请人信息、临时用地提供人信息、项目概况、临时用地情况、临时使用方案，土地复垦情况、其他必要的内容。委托施工单位提出申请的，需提供生产建设单位出具的书面委托书；临时使用土地合同；项目建设依据文件，包括建设项目审批(或核准、备案)文件、勘查批准文件或勘查许可证、资源开采许可证等；土地复垦方案报告书及审查意见；土地权属证明材料；勘测定界材料，包括勘测定界技术报告、勘测定界图四至范围坐标等材料；土地利用现状照片；涉及占用林地、河湖、滩涂等，须提交林业、水利等主管部门的审查意见；临时用地总平面布置图；临时用地宗地图；临时用地授权委托书；公示及公众参与调查；土地权利人意见情况说明；其他必要的材料。</w:t>
      </w:r>
    </w:p>
    <w:p w14:paraId="39CF95B9">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2、服务内容不仅限于获得报批，还有获得报批所需要的其他服务。</w:t>
      </w:r>
    </w:p>
    <w:p w14:paraId="6BAFBEE9">
      <w:pPr>
        <w:spacing w:line="360" w:lineRule="auto"/>
        <w:ind w:right="-426" w:rightChars="-203" w:firstLine="482" w:firstLineChars="200"/>
        <w:jc w:val="left"/>
        <w:outlineLvl w:val="0"/>
        <w:rPr>
          <w:rFonts w:ascii="宋体" w:hAnsi="宋体"/>
          <w:b/>
          <w:bCs w:val="0"/>
          <w:color w:val="auto"/>
          <w:sz w:val="24"/>
          <w:szCs w:val="24"/>
          <w:highlight w:val="none"/>
          <w:lang w:val="zh-CN"/>
        </w:rPr>
      </w:pPr>
      <w:r>
        <w:rPr>
          <w:rFonts w:hint="eastAsia" w:ascii="宋体" w:hAnsi="宋体"/>
          <w:b/>
          <w:bCs w:val="0"/>
          <w:color w:val="auto"/>
          <w:sz w:val="24"/>
          <w:szCs w:val="24"/>
          <w:highlight w:val="none"/>
          <w:lang w:val="zh-CN"/>
        </w:rPr>
        <w:t>三、服务要求</w:t>
      </w:r>
    </w:p>
    <w:p w14:paraId="503BCF47">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1、完成太湖内源污染治理(太湖西岸宜兴近岸区域)一期工程临时用地组卷报批服务组卷材料，并通过主管部门审批；</w:t>
      </w:r>
    </w:p>
    <w:p w14:paraId="218BC085">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2、服务期限：签订合同后，中标供应商须在60天内完成初步成果并通过采购人组织的审查；初步成果提交后30天内，提交成果并通过政府相关部门批复。</w:t>
      </w:r>
    </w:p>
    <w:p w14:paraId="09656D1C">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3、服务地点：采购人指定地点。</w:t>
      </w:r>
    </w:p>
    <w:p w14:paraId="131786E5">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4、验收标准：采购人根据有关规定、招响应文件、合同约定的内容于项目全部完成，并按规定提交全部项目成果后的10个工作日内组织验收，具体验收办法详见《宜兴市政府采购项目履约验收管理办法》（宜财办〔2016〕20号）、采购人考核办法及其他相关要求。</w:t>
      </w:r>
    </w:p>
    <w:p w14:paraId="089EA9C1">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6、付款步骤：完成报告编制并获得主管部门批准后，一次性付清。</w:t>
      </w:r>
    </w:p>
    <w:p w14:paraId="49E30B2F">
      <w:pPr>
        <w:spacing w:line="360" w:lineRule="auto"/>
        <w:ind w:right="-426" w:rightChars="-203" w:firstLine="482" w:firstLineChars="200"/>
        <w:jc w:val="left"/>
        <w:outlineLvl w:val="0"/>
        <w:rPr>
          <w:rFonts w:ascii="宋体" w:hAnsi="宋体"/>
          <w:b/>
          <w:bCs w:val="0"/>
          <w:color w:val="auto"/>
          <w:sz w:val="24"/>
          <w:szCs w:val="24"/>
          <w:highlight w:val="none"/>
          <w:lang w:val="zh-CN"/>
        </w:rPr>
      </w:pPr>
      <w:r>
        <w:rPr>
          <w:rFonts w:hint="eastAsia" w:ascii="宋体" w:hAnsi="宋体"/>
          <w:b/>
          <w:bCs w:val="0"/>
          <w:color w:val="auto"/>
          <w:sz w:val="24"/>
          <w:szCs w:val="24"/>
          <w:highlight w:val="none"/>
          <w:lang w:val="zh-CN"/>
        </w:rPr>
        <w:t>四、实质性要求</w:t>
      </w:r>
    </w:p>
    <w:p w14:paraId="1BBC0F0D">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本章内容为基准要求，如供应商不能完全符合此基准要求，可高于此基准要求进行报价，采购人将不接受低于该基准要求（负偏离）的报价，供应商需对此基准要求作实质性响应。</w:t>
      </w:r>
    </w:p>
    <w:p w14:paraId="55F0A9FF">
      <w:pPr>
        <w:pStyle w:val="8"/>
        <w:rPr>
          <w:rFonts w:hint="eastAsia"/>
          <w:highlight w:val="none"/>
        </w:rPr>
      </w:pPr>
    </w:p>
    <w:p w14:paraId="413E71EA">
      <w:pPr>
        <w:rPr>
          <w:rFonts w:hint="eastAsia" w:ascii="黑体" w:hAnsi="黑体" w:eastAsia="黑体"/>
          <w:color w:val="auto"/>
          <w:sz w:val="28"/>
          <w:highlight w:val="none"/>
        </w:rPr>
      </w:pPr>
    </w:p>
    <w:p w14:paraId="06862A97">
      <w:pPr>
        <w:rPr>
          <w:rFonts w:hint="eastAsia" w:ascii="黑体" w:hAnsi="黑体" w:eastAsia="黑体"/>
          <w:color w:val="auto"/>
          <w:sz w:val="28"/>
          <w:highlight w:val="none"/>
        </w:rPr>
      </w:pPr>
      <w:r>
        <w:rPr>
          <w:rFonts w:hint="eastAsia" w:ascii="黑体" w:hAnsi="黑体" w:eastAsia="黑体"/>
          <w:color w:val="auto"/>
          <w:sz w:val="28"/>
          <w:highlight w:val="none"/>
        </w:rPr>
        <w:br w:type="page"/>
      </w:r>
    </w:p>
    <w:p w14:paraId="35A79301">
      <w:pPr>
        <w:spacing w:line="360" w:lineRule="auto"/>
        <w:ind w:firstLine="562" w:firstLineChars="200"/>
        <w:jc w:val="center"/>
        <w:outlineLvl w:val="0"/>
        <w:rPr>
          <w:rFonts w:ascii="宋体" w:hAnsi="宋体" w:cs="宋体"/>
        </w:rPr>
      </w:pPr>
      <w:r>
        <w:rPr>
          <w:rFonts w:hint="eastAsia" w:ascii="宋体" w:hAnsi="宋体" w:cs="宋体"/>
          <w:b/>
          <w:sz w:val="28"/>
        </w:rPr>
        <w:t>第</w:t>
      </w:r>
      <w:r>
        <w:rPr>
          <w:rFonts w:hint="eastAsia" w:ascii="宋体" w:hAnsi="宋体" w:cs="宋体"/>
          <w:b/>
          <w:sz w:val="28"/>
          <w:lang w:val="en-US" w:eastAsia="zh-CN"/>
        </w:rPr>
        <w:t>四</w:t>
      </w:r>
      <w:r>
        <w:rPr>
          <w:rFonts w:hint="eastAsia" w:ascii="宋体" w:hAnsi="宋体" w:cs="宋体"/>
          <w:b/>
          <w:sz w:val="28"/>
        </w:rPr>
        <w:t>章 评标方法和标准</w:t>
      </w:r>
    </w:p>
    <w:p w14:paraId="78BF5E22">
      <w:pPr>
        <w:spacing w:line="360" w:lineRule="auto"/>
        <w:rPr>
          <w:rFonts w:ascii="宋体" w:hAnsi="宋体" w:cs="宋体"/>
          <w:sz w:val="24"/>
          <w:szCs w:val="24"/>
        </w:rPr>
      </w:pPr>
      <w:r>
        <w:rPr>
          <w:rFonts w:hint="eastAsia" w:ascii="宋体" w:hAnsi="宋体" w:cs="宋体"/>
          <w:sz w:val="24"/>
          <w:szCs w:val="24"/>
        </w:rPr>
        <w:t>一、评分项目（总分100分）</w:t>
      </w:r>
    </w:p>
    <w:tbl>
      <w:tblPr>
        <w:tblStyle w:val="18"/>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6662"/>
      </w:tblGrid>
      <w:tr w14:paraId="2B5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303" w:type="dxa"/>
            <w:noWrap/>
            <w:vAlign w:val="center"/>
          </w:tcPr>
          <w:p w14:paraId="608B3736">
            <w:pPr>
              <w:spacing w:line="360" w:lineRule="auto"/>
              <w:jc w:val="center"/>
              <w:rPr>
                <w:rFonts w:ascii="宋体" w:hAnsi="宋体" w:cs="宋体"/>
                <w:sz w:val="24"/>
                <w:szCs w:val="24"/>
              </w:rPr>
            </w:pPr>
            <w:r>
              <w:rPr>
                <w:rFonts w:hint="eastAsia" w:ascii="宋体" w:hAnsi="宋体" w:cs="宋体"/>
                <w:sz w:val="24"/>
                <w:szCs w:val="24"/>
              </w:rPr>
              <w:t>技术及商务部分</w:t>
            </w:r>
          </w:p>
        </w:tc>
        <w:tc>
          <w:tcPr>
            <w:tcW w:w="6662" w:type="dxa"/>
            <w:shd w:val="clear" w:color="auto" w:fill="auto"/>
            <w:noWrap/>
            <w:vAlign w:val="center"/>
          </w:tcPr>
          <w:p w14:paraId="57D1EC01">
            <w:pPr>
              <w:spacing w:line="360" w:lineRule="auto"/>
              <w:jc w:val="center"/>
              <w:rPr>
                <w:rFonts w:ascii="宋体" w:hAnsi="宋体" w:cs="宋体"/>
                <w:sz w:val="24"/>
                <w:szCs w:val="24"/>
              </w:rPr>
            </w:pPr>
            <w:r>
              <w:rPr>
                <w:rFonts w:hint="eastAsia" w:ascii="宋体" w:hAnsi="宋体" w:cs="宋体"/>
                <w:sz w:val="24"/>
                <w:szCs w:val="24"/>
              </w:rPr>
              <w:t>90分</w:t>
            </w:r>
          </w:p>
        </w:tc>
      </w:tr>
      <w:tr w14:paraId="6234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303" w:type="dxa"/>
            <w:noWrap/>
            <w:vAlign w:val="center"/>
          </w:tcPr>
          <w:p w14:paraId="63DE1A64">
            <w:pPr>
              <w:spacing w:line="360" w:lineRule="auto"/>
              <w:jc w:val="center"/>
              <w:rPr>
                <w:rFonts w:ascii="宋体" w:hAnsi="宋体" w:cs="宋体"/>
                <w:sz w:val="24"/>
                <w:szCs w:val="24"/>
              </w:rPr>
            </w:pPr>
            <w:r>
              <w:rPr>
                <w:rFonts w:hint="eastAsia" w:ascii="宋体" w:hAnsi="宋体" w:cs="宋体"/>
                <w:sz w:val="24"/>
                <w:szCs w:val="24"/>
              </w:rPr>
              <w:t>价格部分</w:t>
            </w:r>
          </w:p>
        </w:tc>
        <w:tc>
          <w:tcPr>
            <w:tcW w:w="6662" w:type="dxa"/>
            <w:shd w:val="clear" w:color="auto" w:fill="auto"/>
            <w:noWrap/>
            <w:vAlign w:val="center"/>
          </w:tcPr>
          <w:p w14:paraId="5AA760AB">
            <w:pPr>
              <w:spacing w:line="360" w:lineRule="auto"/>
              <w:jc w:val="center"/>
              <w:rPr>
                <w:rFonts w:ascii="宋体" w:hAnsi="宋体" w:cs="宋体"/>
                <w:sz w:val="24"/>
                <w:szCs w:val="24"/>
              </w:rPr>
            </w:pPr>
            <w:r>
              <w:rPr>
                <w:rFonts w:hint="eastAsia" w:ascii="宋体" w:hAnsi="宋体" w:cs="宋体"/>
                <w:sz w:val="24"/>
                <w:szCs w:val="24"/>
              </w:rPr>
              <w:t>10分</w:t>
            </w:r>
          </w:p>
        </w:tc>
      </w:tr>
    </w:tbl>
    <w:p w14:paraId="0E7A37E3">
      <w:pPr>
        <w:spacing w:line="360" w:lineRule="auto"/>
        <w:rPr>
          <w:rFonts w:ascii="宋体" w:hAnsi="宋体" w:cs="宋体"/>
          <w:sz w:val="24"/>
          <w:szCs w:val="24"/>
        </w:rPr>
      </w:pPr>
      <w:r>
        <w:rPr>
          <w:rFonts w:hint="eastAsia" w:ascii="宋体" w:hAnsi="宋体" w:cs="宋体"/>
          <w:sz w:val="24"/>
          <w:szCs w:val="24"/>
        </w:rPr>
        <w:t>二、评审内容：</w:t>
      </w:r>
    </w:p>
    <w:p w14:paraId="01BEAEC0">
      <w:pPr>
        <w:spacing w:line="360" w:lineRule="auto"/>
        <w:rPr>
          <w:rFonts w:ascii="宋体" w:hAnsi="宋体" w:cs="宋体"/>
          <w:sz w:val="24"/>
          <w:szCs w:val="24"/>
        </w:rPr>
      </w:pPr>
      <w:r>
        <w:rPr>
          <w:rFonts w:hint="eastAsia" w:ascii="宋体" w:hAnsi="宋体" w:cs="宋体"/>
          <w:sz w:val="24"/>
          <w:szCs w:val="24"/>
        </w:rPr>
        <w:t>1、技术商务部分（90分）</w:t>
      </w:r>
    </w:p>
    <w:tbl>
      <w:tblPr>
        <w:tblStyle w:val="18"/>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833"/>
        <w:gridCol w:w="1533"/>
        <w:gridCol w:w="890"/>
        <w:gridCol w:w="6042"/>
      </w:tblGrid>
      <w:tr w14:paraId="1166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0B42A078">
            <w:pPr>
              <w:spacing w:line="360" w:lineRule="auto"/>
              <w:jc w:val="center"/>
              <w:rPr>
                <w:rFonts w:ascii="宋体" w:hAnsi="宋体" w:cs="宋体"/>
                <w:color w:val="000000"/>
                <w:sz w:val="24"/>
                <w:szCs w:val="24"/>
              </w:rPr>
            </w:pPr>
            <w:r>
              <w:rPr>
                <w:rFonts w:hint="eastAsia" w:ascii="宋体" w:hAnsi="宋体" w:cs="宋体"/>
                <w:color w:val="000000"/>
                <w:sz w:val="24"/>
                <w:szCs w:val="24"/>
              </w:rPr>
              <w:t>评审内容</w:t>
            </w:r>
          </w:p>
        </w:tc>
        <w:tc>
          <w:tcPr>
            <w:tcW w:w="833" w:type="dxa"/>
            <w:tcBorders>
              <w:top w:val="single" w:color="auto" w:sz="4" w:space="0"/>
              <w:left w:val="single" w:color="auto" w:sz="4" w:space="0"/>
              <w:right w:val="single" w:color="auto" w:sz="4" w:space="0"/>
            </w:tcBorders>
            <w:noWrap/>
            <w:vAlign w:val="center"/>
          </w:tcPr>
          <w:p w14:paraId="1612CF39">
            <w:pPr>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533" w:type="dxa"/>
            <w:tcBorders>
              <w:top w:val="single" w:color="auto" w:sz="4" w:space="0"/>
              <w:left w:val="single" w:color="auto" w:sz="4" w:space="0"/>
              <w:right w:val="single" w:color="auto" w:sz="4" w:space="0"/>
            </w:tcBorders>
            <w:noWrap/>
            <w:vAlign w:val="center"/>
          </w:tcPr>
          <w:p w14:paraId="6AA48DF2">
            <w:pPr>
              <w:spacing w:line="360" w:lineRule="auto"/>
              <w:jc w:val="center"/>
              <w:rPr>
                <w:rFonts w:ascii="宋体" w:hAnsi="宋体" w:cs="宋体"/>
                <w:color w:val="000000"/>
                <w:sz w:val="24"/>
                <w:szCs w:val="24"/>
              </w:rPr>
            </w:pPr>
            <w:r>
              <w:rPr>
                <w:rFonts w:hint="eastAsia" w:ascii="宋体" w:hAnsi="宋体" w:cs="宋体"/>
                <w:color w:val="000000"/>
                <w:sz w:val="24"/>
                <w:szCs w:val="24"/>
              </w:rPr>
              <w:t>评审项目</w:t>
            </w:r>
          </w:p>
        </w:tc>
        <w:tc>
          <w:tcPr>
            <w:tcW w:w="890" w:type="dxa"/>
            <w:tcBorders>
              <w:top w:val="single" w:color="auto" w:sz="4" w:space="0"/>
              <w:left w:val="single" w:color="auto" w:sz="4" w:space="0"/>
              <w:right w:val="single" w:color="auto" w:sz="4" w:space="0"/>
            </w:tcBorders>
            <w:noWrap/>
            <w:vAlign w:val="center"/>
          </w:tcPr>
          <w:p w14:paraId="45E65C1C">
            <w:pPr>
              <w:spacing w:line="360" w:lineRule="auto"/>
              <w:jc w:val="center"/>
              <w:rPr>
                <w:rFonts w:ascii="宋体" w:hAnsi="宋体" w:cs="宋体"/>
                <w:color w:val="000000"/>
                <w:sz w:val="24"/>
                <w:szCs w:val="24"/>
              </w:rPr>
            </w:pPr>
            <w:r>
              <w:rPr>
                <w:rFonts w:hint="eastAsia" w:ascii="宋体" w:hAnsi="宋体" w:cs="宋体"/>
                <w:color w:val="000000"/>
                <w:sz w:val="24"/>
                <w:szCs w:val="24"/>
              </w:rPr>
              <w:t>分值</w:t>
            </w:r>
          </w:p>
        </w:tc>
        <w:tc>
          <w:tcPr>
            <w:tcW w:w="6042" w:type="dxa"/>
            <w:tcBorders>
              <w:top w:val="single" w:color="auto" w:sz="4" w:space="0"/>
              <w:left w:val="single" w:color="auto" w:sz="4" w:space="0"/>
              <w:bottom w:val="single" w:color="auto" w:sz="4" w:space="0"/>
              <w:right w:val="single" w:color="auto" w:sz="4" w:space="0"/>
            </w:tcBorders>
            <w:noWrap/>
            <w:vAlign w:val="center"/>
          </w:tcPr>
          <w:p w14:paraId="31688294">
            <w:pPr>
              <w:spacing w:line="360" w:lineRule="auto"/>
              <w:jc w:val="center"/>
              <w:rPr>
                <w:rFonts w:ascii="宋体" w:hAnsi="宋体" w:cs="宋体"/>
                <w:color w:val="000000"/>
                <w:sz w:val="24"/>
                <w:szCs w:val="24"/>
              </w:rPr>
            </w:pPr>
            <w:r>
              <w:rPr>
                <w:rFonts w:hint="eastAsia" w:ascii="宋体" w:hAnsi="宋体" w:cs="宋体"/>
                <w:color w:val="000000"/>
                <w:sz w:val="24"/>
                <w:szCs w:val="24"/>
              </w:rPr>
              <w:t>评审细则</w:t>
            </w:r>
          </w:p>
        </w:tc>
      </w:tr>
      <w:tr w14:paraId="157C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restart"/>
            <w:tcBorders>
              <w:top w:val="single" w:color="auto" w:sz="4" w:space="0"/>
              <w:left w:val="single" w:color="auto" w:sz="4" w:space="0"/>
              <w:right w:val="single" w:color="auto" w:sz="4" w:space="0"/>
            </w:tcBorders>
            <w:noWrap/>
            <w:vAlign w:val="center"/>
          </w:tcPr>
          <w:p w14:paraId="177A50D1">
            <w:pPr>
              <w:snapToGrid w:val="0"/>
              <w:spacing w:line="360" w:lineRule="auto"/>
              <w:jc w:val="center"/>
              <w:rPr>
                <w:rFonts w:ascii="宋体" w:hAnsi="宋体" w:cs="宋体"/>
                <w:sz w:val="24"/>
                <w:szCs w:val="24"/>
              </w:rPr>
            </w:pPr>
            <w:r>
              <w:rPr>
                <w:rFonts w:hint="eastAsia" w:ascii="宋体" w:hAnsi="宋体" w:cs="宋体"/>
                <w:sz w:val="24"/>
                <w:szCs w:val="24"/>
              </w:rPr>
              <w:t>主观评审因素</w:t>
            </w:r>
          </w:p>
          <w:p w14:paraId="4A7B1840">
            <w:pPr>
              <w:snapToGrid w:val="0"/>
              <w:spacing w:line="360" w:lineRule="auto"/>
              <w:jc w:val="center"/>
              <w:rPr>
                <w:rFonts w:ascii="宋体" w:hAnsi="宋体" w:cs="宋体"/>
                <w:sz w:val="24"/>
                <w:szCs w:val="24"/>
              </w:rPr>
            </w:pPr>
            <w:r>
              <w:rPr>
                <w:rFonts w:hint="eastAsia" w:ascii="宋体" w:hAnsi="宋体" w:cs="宋体"/>
                <w:sz w:val="24"/>
                <w:szCs w:val="24"/>
              </w:rPr>
              <w:t>（60分）</w:t>
            </w:r>
          </w:p>
        </w:tc>
        <w:tc>
          <w:tcPr>
            <w:tcW w:w="833" w:type="dxa"/>
            <w:tcBorders>
              <w:top w:val="single" w:color="auto" w:sz="4" w:space="0"/>
              <w:left w:val="single" w:color="auto" w:sz="4" w:space="0"/>
              <w:bottom w:val="single" w:color="auto" w:sz="4" w:space="0"/>
              <w:right w:val="single" w:color="auto" w:sz="4" w:space="0"/>
            </w:tcBorders>
            <w:noWrap/>
            <w:vAlign w:val="center"/>
          </w:tcPr>
          <w:p w14:paraId="6F5E1D2C">
            <w:pPr>
              <w:snapToGrid w:val="0"/>
              <w:jc w:val="center"/>
              <w:rPr>
                <w:rFonts w:ascii="宋体" w:hAnsi="宋体" w:cs="宋体"/>
                <w:color w:val="000000"/>
                <w:sz w:val="24"/>
                <w:szCs w:val="24"/>
              </w:rPr>
            </w:pPr>
            <w:r>
              <w:rPr>
                <w:rFonts w:hint="eastAsia" w:ascii="宋体" w:hAnsi="宋体"/>
                <w:sz w:val="24"/>
                <w:szCs w:val="24"/>
              </w:rPr>
              <w:t>1</w:t>
            </w:r>
          </w:p>
        </w:tc>
        <w:tc>
          <w:tcPr>
            <w:tcW w:w="1533" w:type="dxa"/>
            <w:tcBorders>
              <w:top w:val="single" w:color="auto" w:sz="4" w:space="0"/>
              <w:left w:val="single" w:color="auto" w:sz="4" w:space="0"/>
              <w:bottom w:val="single" w:color="auto" w:sz="4" w:space="0"/>
              <w:right w:val="single" w:color="auto" w:sz="4" w:space="0"/>
            </w:tcBorders>
            <w:noWrap/>
            <w:vAlign w:val="center"/>
          </w:tcPr>
          <w:p w14:paraId="08921D98">
            <w:pPr>
              <w:spacing w:after="96"/>
              <w:jc w:val="center"/>
              <w:rPr>
                <w:rFonts w:ascii="宋体" w:hAnsi="宋体" w:cs="宋体"/>
                <w:color w:val="000000"/>
                <w:sz w:val="24"/>
                <w:szCs w:val="24"/>
                <w:highlight w:val="yellow"/>
              </w:rPr>
            </w:pPr>
            <w:r>
              <w:rPr>
                <w:rFonts w:hint="eastAsia" w:ascii="宋体" w:hAnsi="宋体"/>
                <w:bCs/>
                <w:sz w:val="24"/>
                <w:szCs w:val="24"/>
              </w:rPr>
              <w:t>对项目的理解</w:t>
            </w:r>
          </w:p>
        </w:tc>
        <w:tc>
          <w:tcPr>
            <w:tcW w:w="890" w:type="dxa"/>
            <w:tcBorders>
              <w:top w:val="single" w:color="auto" w:sz="4" w:space="0"/>
              <w:left w:val="single" w:color="auto" w:sz="4" w:space="0"/>
              <w:bottom w:val="single" w:color="auto" w:sz="4" w:space="0"/>
              <w:right w:val="single" w:color="auto" w:sz="4" w:space="0"/>
            </w:tcBorders>
            <w:noWrap/>
            <w:vAlign w:val="center"/>
          </w:tcPr>
          <w:p w14:paraId="68860664">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78B010AD">
            <w:pPr>
              <w:spacing w:after="96"/>
              <w:rPr>
                <w:rFonts w:ascii="宋体" w:hAnsi="宋体" w:cs="宋体"/>
                <w:color w:val="000000"/>
                <w:sz w:val="24"/>
                <w:szCs w:val="24"/>
              </w:rPr>
            </w:pPr>
            <w:r>
              <w:rPr>
                <w:rFonts w:hint="eastAsia" w:ascii="宋体" w:hAnsi="宋体" w:cs="宋体"/>
                <w:sz w:val="24"/>
                <w:szCs w:val="24"/>
              </w:rPr>
              <w:t>对项目认知明确、项目需求分析透彻、具体深入，提供详细的说明和分析，满足采购需求的得10分；对项目情况基本了解，并提供相关分析，基本符合采购需求的为7分；对项目情况不够了解，相关分析合理性较差，有描述但内容欠缺的得4分；未提供不得分。</w:t>
            </w:r>
          </w:p>
        </w:tc>
      </w:tr>
      <w:tr w14:paraId="49C9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6E1FA573">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4F1B1A2C">
            <w:pPr>
              <w:snapToGrid w:val="0"/>
              <w:jc w:val="center"/>
              <w:rPr>
                <w:rFonts w:ascii="宋体" w:hAnsi="宋体" w:cs="宋体"/>
                <w:color w:val="000000"/>
                <w:sz w:val="24"/>
                <w:szCs w:val="24"/>
              </w:rPr>
            </w:pPr>
            <w:r>
              <w:rPr>
                <w:rFonts w:hint="eastAsia" w:ascii="宋体" w:hAnsi="宋体"/>
                <w:sz w:val="24"/>
                <w:szCs w:val="24"/>
              </w:rPr>
              <w:t>2</w:t>
            </w:r>
          </w:p>
        </w:tc>
        <w:tc>
          <w:tcPr>
            <w:tcW w:w="1533" w:type="dxa"/>
            <w:tcBorders>
              <w:top w:val="single" w:color="auto" w:sz="4" w:space="0"/>
              <w:left w:val="single" w:color="auto" w:sz="4" w:space="0"/>
              <w:bottom w:val="single" w:color="auto" w:sz="4" w:space="0"/>
              <w:right w:val="single" w:color="auto" w:sz="4" w:space="0"/>
            </w:tcBorders>
            <w:noWrap/>
            <w:vAlign w:val="center"/>
          </w:tcPr>
          <w:p w14:paraId="5DC7EB51">
            <w:pPr>
              <w:spacing w:after="96"/>
              <w:jc w:val="center"/>
              <w:rPr>
                <w:rFonts w:ascii="宋体" w:hAnsi="宋体" w:cs="宋体"/>
                <w:color w:val="000000"/>
                <w:sz w:val="24"/>
                <w:szCs w:val="24"/>
                <w:highlight w:val="yellow"/>
              </w:rPr>
            </w:pPr>
            <w:r>
              <w:rPr>
                <w:rFonts w:hint="eastAsia" w:ascii="宋体" w:hAnsi="宋体"/>
                <w:bCs/>
                <w:sz w:val="24"/>
                <w:szCs w:val="24"/>
              </w:rPr>
              <w:t>工作技术方案</w:t>
            </w:r>
          </w:p>
        </w:tc>
        <w:tc>
          <w:tcPr>
            <w:tcW w:w="890" w:type="dxa"/>
            <w:tcBorders>
              <w:top w:val="single" w:color="auto" w:sz="4" w:space="0"/>
              <w:left w:val="single" w:color="auto" w:sz="4" w:space="0"/>
              <w:bottom w:val="single" w:color="auto" w:sz="4" w:space="0"/>
              <w:right w:val="single" w:color="auto" w:sz="4" w:space="0"/>
            </w:tcBorders>
            <w:noWrap/>
            <w:vAlign w:val="center"/>
          </w:tcPr>
          <w:p w14:paraId="599B5A64">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37E7919C">
            <w:pPr>
              <w:spacing w:after="96"/>
              <w:rPr>
                <w:rFonts w:ascii="宋体" w:hAnsi="宋体" w:cs="宋体"/>
                <w:color w:val="000000"/>
                <w:sz w:val="24"/>
                <w:szCs w:val="24"/>
              </w:rPr>
            </w:pPr>
            <w:r>
              <w:rPr>
                <w:rFonts w:hint="eastAsia" w:ascii="宋体" w:hAnsi="宋体"/>
                <w:sz w:val="24"/>
                <w:szCs w:val="24"/>
              </w:rPr>
              <w:t>工作方法先进、科学、合理、实用可行的得10分；工作方法较先进、合理、有可行性的得7分；工作方法通用、合理性差、可行性差的得4分；无内容描述的不得分。</w:t>
            </w:r>
          </w:p>
        </w:tc>
      </w:tr>
      <w:tr w14:paraId="4D2A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5FE353DC">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2F14F5FD">
            <w:pPr>
              <w:snapToGrid w:val="0"/>
              <w:jc w:val="center"/>
              <w:rPr>
                <w:rFonts w:ascii="宋体" w:hAnsi="宋体" w:cs="宋体"/>
                <w:color w:val="000000"/>
                <w:sz w:val="24"/>
                <w:szCs w:val="24"/>
              </w:rPr>
            </w:pPr>
            <w:r>
              <w:rPr>
                <w:rFonts w:hint="eastAsia" w:ascii="宋体" w:hAnsi="宋体"/>
                <w:sz w:val="24"/>
                <w:szCs w:val="24"/>
              </w:rPr>
              <w:t>3</w:t>
            </w:r>
          </w:p>
        </w:tc>
        <w:tc>
          <w:tcPr>
            <w:tcW w:w="1533" w:type="dxa"/>
            <w:tcBorders>
              <w:top w:val="single" w:color="auto" w:sz="4" w:space="0"/>
              <w:left w:val="single" w:color="auto" w:sz="4" w:space="0"/>
              <w:bottom w:val="single" w:color="auto" w:sz="4" w:space="0"/>
              <w:right w:val="single" w:color="auto" w:sz="4" w:space="0"/>
            </w:tcBorders>
            <w:noWrap/>
            <w:vAlign w:val="center"/>
          </w:tcPr>
          <w:p w14:paraId="522DC74C">
            <w:pPr>
              <w:spacing w:after="96"/>
              <w:jc w:val="center"/>
              <w:rPr>
                <w:rFonts w:ascii="宋体" w:hAnsi="宋体" w:cs="宋体"/>
                <w:color w:val="000000"/>
                <w:sz w:val="24"/>
                <w:szCs w:val="24"/>
                <w:highlight w:val="yellow"/>
              </w:rPr>
            </w:pPr>
            <w:r>
              <w:rPr>
                <w:rFonts w:hint="eastAsia" w:ascii="宋体" w:hAnsi="宋体"/>
                <w:bCs/>
                <w:sz w:val="24"/>
                <w:szCs w:val="24"/>
              </w:rPr>
              <w:t>项目保障措施</w:t>
            </w:r>
          </w:p>
        </w:tc>
        <w:tc>
          <w:tcPr>
            <w:tcW w:w="890" w:type="dxa"/>
            <w:tcBorders>
              <w:top w:val="single" w:color="auto" w:sz="4" w:space="0"/>
              <w:left w:val="single" w:color="auto" w:sz="4" w:space="0"/>
              <w:bottom w:val="single" w:color="auto" w:sz="4" w:space="0"/>
              <w:right w:val="single" w:color="auto" w:sz="4" w:space="0"/>
            </w:tcBorders>
            <w:noWrap/>
            <w:vAlign w:val="center"/>
          </w:tcPr>
          <w:p w14:paraId="41438706">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569FD7E8">
            <w:pPr>
              <w:spacing w:after="96"/>
              <w:rPr>
                <w:rFonts w:ascii="宋体" w:hAnsi="宋体" w:cs="宋体"/>
                <w:kern w:val="0"/>
                <w:sz w:val="24"/>
                <w:szCs w:val="24"/>
              </w:rPr>
            </w:pPr>
            <w:r>
              <w:rPr>
                <w:rFonts w:hint="eastAsia" w:ascii="宋体" w:hAnsi="宋体"/>
                <w:sz w:val="24"/>
                <w:szCs w:val="24"/>
              </w:rPr>
              <w:t>项目进度保障措施、技术质量保障措施、安全保密保障措施，措施全面、合理的得10分；措施全面合理性一般为7分；措施不够全面、不够合理的得4分；无内容描述的不得分。</w:t>
            </w:r>
          </w:p>
        </w:tc>
      </w:tr>
      <w:tr w14:paraId="02C0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7B37C9FE">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264CFD93">
            <w:pPr>
              <w:snapToGrid w:val="0"/>
              <w:jc w:val="center"/>
              <w:rPr>
                <w:rFonts w:ascii="宋体" w:hAnsi="宋体" w:cs="宋体"/>
                <w:bCs/>
                <w:sz w:val="24"/>
                <w:szCs w:val="24"/>
              </w:rPr>
            </w:pPr>
            <w:r>
              <w:rPr>
                <w:rFonts w:hint="eastAsia" w:ascii="宋体" w:hAnsi="宋体"/>
                <w:sz w:val="24"/>
                <w:szCs w:val="24"/>
              </w:rPr>
              <w:t>4</w:t>
            </w:r>
          </w:p>
        </w:tc>
        <w:tc>
          <w:tcPr>
            <w:tcW w:w="1533" w:type="dxa"/>
            <w:tcBorders>
              <w:top w:val="single" w:color="auto" w:sz="4" w:space="0"/>
              <w:left w:val="single" w:color="auto" w:sz="4" w:space="0"/>
              <w:bottom w:val="single" w:color="auto" w:sz="4" w:space="0"/>
              <w:right w:val="single" w:color="auto" w:sz="4" w:space="0"/>
            </w:tcBorders>
            <w:noWrap/>
            <w:vAlign w:val="center"/>
          </w:tcPr>
          <w:p w14:paraId="72A8C43F">
            <w:pPr>
              <w:spacing w:after="96"/>
              <w:jc w:val="center"/>
              <w:rPr>
                <w:rFonts w:ascii="宋体" w:hAnsi="宋体" w:cs="宋体"/>
                <w:sz w:val="24"/>
                <w:szCs w:val="24"/>
                <w:lang w:val="zh-CN"/>
              </w:rPr>
            </w:pPr>
            <w:r>
              <w:rPr>
                <w:rFonts w:hint="eastAsia" w:ascii="宋体" w:hAnsi="宋体"/>
                <w:bCs/>
                <w:sz w:val="24"/>
                <w:szCs w:val="24"/>
              </w:rPr>
              <w:t>服务响应情况</w:t>
            </w:r>
          </w:p>
        </w:tc>
        <w:tc>
          <w:tcPr>
            <w:tcW w:w="890" w:type="dxa"/>
            <w:tcBorders>
              <w:top w:val="single" w:color="auto" w:sz="4" w:space="0"/>
              <w:left w:val="single" w:color="auto" w:sz="4" w:space="0"/>
              <w:bottom w:val="single" w:color="auto" w:sz="4" w:space="0"/>
              <w:right w:val="single" w:color="auto" w:sz="4" w:space="0"/>
            </w:tcBorders>
            <w:noWrap/>
            <w:vAlign w:val="center"/>
          </w:tcPr>
          <w:p w14:paraId="4F7D888A">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1DEC0674">
            <w:pPr>
              <w:rPr>
                <w:rFonts w:ascii="宋体" w:hAnsi="宋体" w:cs="宋体"/>
                <w:color w:val="000000"/>
                <w:sz w:val="24"/>
                <w:szCs w:val="24"/>
              </w:rPr>
            </w:pPr>
            <w:r>
              <w:rPr>
                <w:rFonts w:hint="eastAsia" w:ascii="宋体" w:hAnsi="宋体"/>
                <w:sz w:val="24"/>
                <w:szCs w:val="24"/>
              </w:rPr>
              <w:t>服务响应时间、服务方式等。内容完善全面、科学合理、便捷有效的得10分，内容较完善全面、科学合理的得7分，有涉及但不全面的得4分，未提供则该项不得分。</w:t>
            </w:r>
          </w:p>
        </w:tc>
      </w:tr>
      <w:tr w14:paraId="65BB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04" w:type="dxa"/>
            <w:vMerge w:val="continue"/>
            <w:tcBorders>
              <w:left w:val="single" w:color="auto" w:sz="4" w:space="0"/>
              <w:right w:val="single" w:color="auto" w:sz="4" w:space="0"/>
            </w:tcBorders>
            <w:noWrap/>
            <w:vAlign w:val="center"/>
          </w:tcPr>
          <w:p w14:paraId="2689E394">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12EC704C">
            <w:pPr>
              <w:snapToGrid w:val="0"/>
              <w:jc w:val="center"/>
              <w:rPr>
                <w:rFonts w:ascii="宋体" w:hAnsi="宋体" w:cs="宋体"/>
                <w:bCs/>
                <w:sz w:val="24"/>
                <w:szCs w:val="24"/>
              </w:rPr>
            </w:pPr>
            <w:r>
              <w:rPr>
                <w:rFonts w:hint="eastAsia" w:ascii="宋体" w:hAnsi="宋体"/>
                <w:sz w:val="24"/>
                <w:szCs w:val="24"/>
              </w:rPr>
              <w:t>5</w:t>
            </w:r>
          </w:p>
        </w:tc>
        <w:tc>
          <w:tcPr>
            <w:tcW w:w="1533" w:type="dxa"/>
            <w:tcBorders>
              <w:top w:val="single" w:color="auto" w:sz="4" w:space="0"/>
              <w:left w:val="single" w:color="auto" w:sz="4" w:space="0"/>
              <w:bottom w:val="single" w:color="auto" w:sz="4" w:space="0"/>
              <w:right w:val="single" w:color="auto" w:sz="4" w:space="0"/>
            </w:tcBorders>
            <w:noWrap/>
            <w:vAlign w:val="center"/>
          </w:tcPr>
          <w:p w14:paraId="139CE1B0">
            <w:pPr>
              <w:spacing w:after="96"/>
              <w:jc w:val="center"/>
              <w:rPr>
                <w:rFonts w:ascii="宋体" w:hAnsi="宋体" w:cs="宋体"/>
                <w:sz w:val="24"/>
                <w:szCs w:val="24"/>
              </w:rPr>
            </w:pPr>
            <w:r>
              <w:rPr>
                <w:rFonts w:hint="eastAsia" w:ascii="宋体" w:hAnsi="宋体"/>
                <w:bCs/>
                <w:sz w:val="24"/>
                <w:szCs w:val="24"/>
              </w:rPr>
              <w:t>组织机构</w:t>
            </w:r>
          </w:p>
        </w:tc>
        <w:tc>
          <w:tcPr>
            <w:tcW w:w="890" w:type="dxa"/>
            <w:tcBorders>
              <w:top w:val="single" w:color="auto" w:sz="4" w:space="0"/>
              <w:left w:val="single" w:color="auto" w:sz="4" w:space="0"/>
              <w:bottom w:val="single" w:color="auto" w:sz="4" w:space="0"/>
              <w:right w:val="single" w:color="auto" w:sz="4" w:space="0"/>
            </w:tcBorders>
            <w:noWrap/>
            <w:vAlign w:val="center"/>
          </w:tcPr>
          <w:p w14:paraId="048ADAC2">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5DF6F255">
            <w:pPr>
              <w:spacing w:after="96"/>
              <w:rPr>
                <w:rFonts w:ascii="宋体" w:hAnsi="宋体" w:cs="宋体"/>
                <w:kern w:val="0"/>
                <w:sz w:val="24"/>
                <w:szCs w:val="24"/>
              </w:rPr>
            </w:pPr>
            <w:r>
              <w:rPr>
                <w:rFonts w:hint="eastAsia" w:ascii="宋体" w:hAnsi="宋体" w:cs="宋体"/>
                <w:sz w:val="24"/>
                <w:szCs w:val="24"/>
              </w:rPr>
              <w:t>项目组织机构设置完全满足本次项目招标要求，人员配置合理，职责分工明确的得10分；基本符合本次项目招标要求，人员配置较合理，职责分工较合理的得7分；未作说明或组织机构欠合理的得4分；未提供则该项不得分。</w:t>
            </w:r>
          </w:p>
        </w:tc>
      </w:tr>
      <w:tr w14:paraId="561F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663759A6">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74773428">
            <w:pPr>
              <w:snapToGrid w:val="0"/>
              <w:jc w:val="center"/>
              <w:rPr>
                <w:rFonts w:ascii="宋体" w:hAnsi="宋体" w:cs="宋体"/>
                <w:bCs/>
                <w:sz w:val="24"/>
                <w:szCs w:val="24"/>
              </w:rPr>
            </w:pPr>
            <w:r>
              <w:rPr>
                <w:rFonts w:hint="eastAsia" w:ascii="宋体" w:hAnsi="宋体"/>
                <w:sz w:val="24"/>
                <w:szCs w:val="24"/>
              </w:rPr>
              <w:t>6</w:t>
            </w:r>
          </w:p>
        </w:tc>
        <w:tc>
          <w:tcPr>
            <w:tcW w:w="1533" w:type="dxa"/>
            <w:tcBorders>
              <w:top w:val="single" w:color="auto" w:sz="4" w:space="0"/>
              <w:left w:val="single" w:color="auto" w:sz="4" w:space="0"/>
              <w:bottom w:val="single" w:color="auto" w:sz="4" w:space="0"/>
              <w:right w:val="single" w:color="auto" w:sz="4" w:space="0"/>
            </w:tcBorders>
            <w:noWrap/>
            <w:vAlign w:val="center"/>
          </w:tcPr>
          <w:p w14:paraId="1C18D03B">
            <w:pPr>
              <w:spacing w:after="96"/>
              <w:jc w:val="center"/>
              <w:rPr>
                <w:rFonts w:ascii="宋体" w:hAnsi="宋体" w:cs="宋体"/>
                <w:sz w:val="24"/>
                <w:szCs w:val="24"/>
              </w:rPr>
            </w:pPr>
            <w:r>
              <w:rPr>
                <w:rFonts w:hint="eastAsia" w:ascii="宋体" w:hAnsi="宋体"/>
                <w:bCs/>
                <w:sz w:val="24"/>
                <w:szCs w:val="24"/>
              </w:rPr>
              <w:t>合理化建议</w:t>
            </w:r>
          </w:p>
        </w:tc>
        <w:tc>
          <w:tcPr>
            <w:tcW w:w="890" w:type="dxa"/>
            <w:tcBorders>
              <w:top w:val="single" w:color="auto" w:sz="4" w:space="0"/>
              <w:left w:val="single" w:color="auto" w:sz="4" w:space="0"/>
              <w:bottom w:val="single" w:color="auto" w:sz="4" w:space="0"/>
              <w:right w:val="single" w:color="auto" w:sz="4" w:space="0"/>
            </w:tcBorders>
            <w:noWrap/>
            <w:vAlign w:val="center"/>
          </w:tcPr>
          <w:p w14:paraId="7EF917E9">
            <w:pPr>
              <w:snapToGrid w:val="0"/>
              <w:jc w:val="center"/>
              <w:rPr>
                <w:rFonts w:ascii="宋体" w:hAnsi="宋体" w:cs="宋体"/>
                <w:kern w:val="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3517337E">
            <w:pPr>
              <w:spacing w:after="96"/>
              <w:rPr>
                <w:rFonts w:ascii="宋体" w:hAnsi="宋体" w:cs="宋体"/>
                <w:kern w:val="0"/>
                <w:sz w:val="24"/>
                <w:szCs w:val="24"/>
              </w:rPr>
            </w:pPr>
            <w:r>
              <w:rPr>
                <w:rFonts w:hint="eastAsia" w:ascii="宋体" w:hAnsi="宋体" w:cs="宋体"/>
                <w:sz w:val="24"/>
                <w:szCs w:val="24"/>
              </w:rPr>
              <w:t>评标委员会根据招标文件要求及各供应商响应文件中提出创新、创优等合理化建议等相关内容进行评审。合理化建议内容完善全面、科学合理、便捷有效的得10分，内容较完善全面、科学合理的得7分，有涉及但不全面的得4分，未提供则该项不得分。</w:t>
            </w:r>
          </w:p>
        </w:tc>
      </w:tr>
      <w:tr w14:paraId="6DC3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restart"/>
            <w:tcBorders>
              <w:left w:val="single" w:color="auto" w:sz="4" w:space="0"/>
              <w:right w:val="single" w:color="auto" w:sz="4" w:space="0"/>
            </w:tcBorders>
            <w:noWrap/>
            <w:vAlign w:val="center"/>
          </w:tcPr>
          <w:p w14:paraId="043501C9">
            <w:pPr>
              <w:spacing w:line="360" w:lineRule="auto"/>
              <w:jc w:val="center"/>
              <w:rPr>
                <w:rFonts w:ascii="宋体" w:hAnsi="宋体" w:cs="宋体"/>
                <w:color w:val="000000"/>
                <w:sz w:val="24"/>
                <w:szCs w:val="24"/>
              </w:rPr>
            </w:pPr>
            <w:r>
              <w:rPr>
                <w:rFonts w:hint="eastAsia" w:ascii="宋体" w:hAnsi="宋体" w:cs="宋体"/>
                <w:color w:val="000000"/>
                <w:sz w:val="24"/>
                <w:szCs w:val="24"/>
              </w:rPr>
              <w:t>客观评审因素</w:t>
            </w:r>
          </w:p>
          <w:p w14:paraId="009232F2">
            <w:pPr>
              <w:spacing w:line="360" w:lineRule="auto"/>
              <w:jc w:val="center"/>
              <w:rPr>
                <w:rFonts w:ascii="宋体" w:hAnsi="宋体" w:cs="宋体"/>
                <w:color w:val="000000"/>
                <w:sz w:val="24"/>
                <w:szCs w:val="24"/>
              </w:rPr>
            </w:pPr>
            <w:r>
              <w:rPr>
                <w:rFonts w:hint="eastAsia" w:ascii="宋体" w:hAnsi="宋体" w:cs="宋体"/>
                <w:color w:val="000000"/>
                <w:sz w:val="24"/>
                <w:szCs w:val="24"/>
              </w:rPr>
              <w:t>（30分）</w:t>
            </w:r>
          </w:p>
        </w:tc>
        <w:tc>
          <w:tcPr>
            <w:tcW w:w="833" w:type="dxa"/>
            <w:tcBorders>
              <w:top w:val="single" w:color="auto" w:sz="4" w:space="0"/>
              <w:left w:val="single" w:color="auto" w:sz="4" w:space="0"/>
              <w:bottom w:val="single" w:color="auto" w:sz="4" w:space="0"/>
              <w:right w:val="single" w:color="auto" w:sz="4" w:space="0"/>
            </w:tcBorders>
            <w:noWrap/>
            <w:vAlign w:val="center"/>
          </w:tcPr>
          <w:p w14:paraId="03B926DD">
            <w:pPr>
              <w:snapToGrid w:val="0"/>
              <w:jc w:val="center"/>
              <w:rPr>
                <w:rFonts w:ascii="宋体" w:hAnsi="宋体" w:cs="宋体"/>
                <w:color w:val="000000"/>
                <w:sz w:val="24"/>
                <w:szCs w:val="24"/>
              </w:rPr>
            </w:pPr>
            <w:r>
              <w:rPr>
                <w:rFonts w:hint="eastAsia" w:ascii="宋体" w:hAnsi="宋体"/>
                <w:sz w:val="24"/>
                <w:szCs w:val="24"/>
              </w:rPr>
              <w:t>7</w:t>
            </w:r>
          </w:p>
        </w:tc>
        <w:tc>
          <w:tcPr>
            <w:tcW w:w="1533" w:type="dxa"/>
            <w:tcBorders>
              <w:top w:val="single" w:color="auto" w:sz="4" w:space="0"/>
              <w:left w:val="single" w:color="auto" w:sz="4" w:space="0"/>
              <w:bottom w:val="single" w:color="auto" w:sz="4" w:space="0"/>
              <w:right w:val="single" w:color="auto" w:sz="4" w:space="0"/>
            </w:tcBorders>
            <w:noWrap/>
            <w:vAlign w:val="center"/>
          </w:tcPr>
          <w:p w14:paraId="7114A18F">
            <w:pPr>
              <w:spacing w:after="96"/>
              <w:jc w:val="center"/>
              <w:rPr>
                <w:rFonts w:ascii="宋体" w:hAnsi="宋体" w:cs="宋体"/>
                <w:bCs/>
                <w:sz w:val="24"/>
                <w:szCs w:val="24"/>
              </w:rPr>
            </w:pPr>
            <w:r>
              <w:rPr>
                <w:rFonts w:hint="eastAsia" w:ascii="宋体" w:hAnsi="宋体"/>
                <w:bCs/>
                <w:sz w:val="24"/>
                <w:szCs w:val="24"/>
              </w:rPr>
              <w:t>人员配备</w:t>
            </w:r>
          </w:p>
        </w:tc>
        <w:tc>
          <w:tcPr>
            <w:tcW w:w="890" w:type="dxa"/>
            <w:tcBorders>
              <w:top w:val="single" w:color="auto" w:sz="4" w:space="0"/>
              <w:left w:val="single" w:color="auto" w:sz="4" w:space="0"/>
              <w:bottom w:val="single" w:color="auto" w:sz="4" w:space="0"/>
              <w:right w:val="single" w:color="auto" w:sz="4" w:space="0"/>
            </w:tcBorders>
            <w:noWrap/>
            <w:vAlign w:val="center"/>
          </w:tcPr>
          <w:p w14:paraId="3F86D5E8">
            <w:pPr>
              <w:snapToGrid w:val="0"/>
              <w:jc w:val="center"/>
              <w:rPr>
                <w:rFonts w:ascii="宋体" w:hAnsi="宋体" w:cs="宋体"/>
                <w:color w:val="000000"/>
                <w:sz w:val="24"/>
                <w:szCs w:val="24"/>
              </w:rPr>
            </w:pPr>
            <w:r>
              <w:rPr>
                <w:rFonts w:ascii="宋体" w:hAnsi="宋体"/>
                <w:bCs/>
                <w:sz w:val="24"/>
                <w:szCs w:val="24"/>
              </w:rPr>
              <w:t>9</w:t>
            </w:r>
          </w:p>
        </w:tc>
        <w:tc>
          <w:tcPr>
            <w:tcW w:w="6042" w:type="dxa"/>
            <w:tcBorders>
              <w:top w:val="single" w:color="auto" w:sz="4" w:space="0"/>
              <w:left w:val="single" w:color="auto" w:sz="4" w:space="0"/>
              <w:bottom w:val="single" w:color="auto" w:sz="4" w:space="0"/>
              <w:right w:val="single" w:color="auto" w:sz="4" w:space="0"/>
            </w:tcBorders>
            <w:noWrap/>
            <w:vAlign w:val="center"/>
          </w:tcPr>
          <w:p w14:paraId="152A5BF7">
            <w:pPr>
              <w:autoSpaceDE w:val="0"/>
              <w:autoSpaceDN w:val="0"/>
              <w:adjustRightInd w:val="0"/>
              <w:jc w:val="left"/>
              <w:rPr>
                <w:rFonts w:hint="eastAsia" w:ascii="宋体" w:hAnsi="宋体" w:cs="宋体"/>
                <w:kern w:val="0"/>
                <w:sz w:val="24"/>
                <w:szCs w:val="24"/>
              </w:rPr>
            </w:pPr>
            <w:r>
              <w:rPr>
                <w:rFonts w:hint="eastAsia" w:ascii="宋体" w:hAnsi="宋体" w:cs="宋体"/>
                <w:sz w:val="24"/>
                <w:szCs w:val="24"/>
                <w:lang w:val="en-US" w:eastAsia="zh-CN"/>
              </w:rPr>
              <w:t>拟投入</w:t>
            </w:r>
            <w:r>
              <w:rPr>
                <w:rFonts w:hint="eastAsia" w:ascii="宋体" w:hAnsi="宋体" w:cs="宋体"/>
                <w:sz w:val="24"/>
                <w:szCs w:val="24"/>
              </w:rPr>
              <w:t>项目</w:t>
            </w:r>
            <w:r>
              <w:rPr>
                <w:rFonts w:hint="eastAsia" w:ascii="宋体" w:hAnsi="宋体" w:cs="宋体"/>
                <w:sz w:val="24"/>
                <w:szCs w:val="24"/>
                <w:lang w:val="en-US" w:eastAsia="zh-CN"/>
              </w:rPr>
              <w:t>负责人</w:t>
            </w:r>
            <w:r>
              <w:rPr>
                <w:rFonts w:hint="eastAsia" w:ascii="宋体" w:hAnsi="宋体" w:cs="宋体"/>
                <w:sz w:val="24"/>
                <w:szCs w:val="24"/>
              </w:rPr>
              <w:t>中具备高级</w:t>
            </w:r>
            <w:r>
              <w:rPr>
                <w:rFonts w:hint="eastAsia" w:ascii="宋体" w:hAnsi="宋体" w:cs="宋体"/>
                <w:kern w:val="0"/>
                <w:sz w:val="24"/>
                <w:szCs w:val="24"/>
              </w:rPr>
              <w:t>工程师资格证书，有一个得</w:t>
            </w:r>
            <w:r>
              <w:rPr>
                <w:rFonts w:ascii="宋体" w:hAnsi="宋体" w:cs="宋体"/>
                <w:kern w:val="0"/>
                <w:sz w:val="24"/>
                <w:szCs w:val="24"/>
              </w:rPr>
              <w:t>5</w:t>
            </w:r>
            <w:r>
              <w:rPr>
                <w:rFonts w:hint="eastAsia" w:ascii="宋体" w:hAnsi="宋体" w:cs="宋体"/>
                <w:kern w:val="0"/>
                <w:sz w:val="24"/>
                <w:szCs w:val="24"/>
              </w:rPr>
              <w:t>分；具备中级工程师资格证书，有一个得</w:t>
            </w:r>
            <w:r>
              <w:rPr>
                <w:rFonts w:ascii="宋体" w:hAnsi="宋体" w:cs="宋体"/>
                <w:kern w:val="0"/>
                <w:sz w:val="24"/>
                <w:szCs w:val="24"/>
              </w:rPr>
              <w:t>3</w:t>
            </w:r>
            <w:r>
              <w:rPr>
                <w:rFonts w:hint="eastAsia" w:ascii="宋体" w:hAnsi="宋体" w:cs="宋体"/>
                <w:kern w:val="0"/>
                <w:sz w:val="24"/>
                <w:szCs w:val="24"/>
              </w:rPr>
              <w:t>分</w:t>
            </w:r>
            <w:r>
              <w:rPr>
                <w:rFonts w:hint="eastAsia" w:ascii="宋体" w:hAnsi="宋体" w:eastAsia="宋体" w:cs="Times New Roman"/>
                <w:sz w:val="21"/>
                <w:szCs w:val="21"/>
                <w:highlight w:val="none"/>
              </w:rPr>
              <w:t>；本项最高得</w:t>
            </w:r>
            <w:r>
              <w:rPr>
                <w:rFonts w:hint="eastAsia" w:ascii="宋体" w:hAnsi="宋体" w:cs="Times New Roman"/>
                <w:sz w:val="21"/>
                <w:szCs w:val="21"/>
                <w:highlight w:val="none"/>
                <w:lang w:val="en-US" w:eastAsia="zh-CN"/>
              </w:rPr>
              <w:t>5</w:t>
            </w:r>
            <w:r>
              <w:rPr>
                <w:rFonts w:hint="eastAsia" w:ascii="宋体" w:hAnsi="宋体" w:eastAsia="宋体" w:cs="Times New Roman"/>
                <w:sz w:val="21"/>
                <w:szCs w:val="21"/>
                <w:highlight w:val="none"/>
              </w:rPr>
              <w:t>分。</w:t>
            </w:r>
          </w:p>
          <w:p w14:paraId="619A34D5">
            <w:pPr>
              <w:autoSpaceDE w:val="0"/>
              <w:autoSpaceDN w:val="0"/>
              <w:adjustRightInd w:val="0"/>
              <w:jc w:val="left"/>
              <w:rPr>
                <w:rFonts w:ascii="宋体" w:hAnsi="宋体" w:cs="宋体"/>
                <w:sz w:val="24"/>
                <w:szCs w:val="24"/>
              </w:rPr>
            </w:pPr>
            <w:r>
              <w:rPr>
                <w:rFonts w:hint="eastAsia" w:ascii="宋体" w:hAnsi="宋体" w:cs="宋体"/>
                <w:sz w:val="24"/>
                <w:szCs w:val="24"/>
              </w:rPr>
              <w:t>拟投入项目组成人员</w:t>
            </w:r>
            <w:r>
              <w:rPr>
                <w:rFonts w:hint="eastAsia" w:ascii="宋体" w:hAnsi="宋体" w:cs="宋体"/>
                <w:sz w:val="24"/>
                <w:szCs w:val="24"/>
                <w:lang w:val="en-US" w:eastAsia="zh-CN"/>
              </w:rPr>
              <w:t>中</w:t>
            </w:r>
            <w:r>
              <w:rPr>
                <w:rFonts w:hint="eastAsia" w:ascii="宋体" w:hAnsi="宋体" w:cs="宋体"/>
                <w:sz w:val="24"/>
                <w:szCs w:val="24"/>
              </w:rPr>
              <w:t>具备助理工程师及以上工程师职称的，有一个得1分；本项最高得</w:t>
            </w:r>
            <w:r>
              <w:rPr>
                <w:rFonts w:hint="eastAsia" w:ascii="宋体" w:hAnsi="宋体" w:cs="宋体"/>
                <w:sz w:val="24"/>
                <w:szCs w:val="24"/>
                <w:lang w:val="en-US" w:eastAsia="zh-CN"/>
              </w:rPr>
              <w:t>4</w:t>
            </w:r>
            <w:r>
              <w:rPr>
                <w:rFonts w:hint="eastAsia" w:ascii="宋体" w:hAnsi="宋体" w:cs="宋体"/>
                <w:sz w:val="24"/>
                <w:szCs w:val="24"/>
              </w:rPr>
              <w:t>分。</w:t>
            </w:r>
          </w:p>
          <w:p w14:paraId="73E9B5F4">
            <w:pPr>
              <w:autoSpaceDE w:val="0"/>
              <w:autoSpaceDN w:val="0"/>
              <w:adjustRightInd w:val="0"/>
              <w:jc w:val="left"/>
              <w:rPr>
                <w:rFonts w:ascii="宋体" w:hAnsi="宋体" w:cs="宋体"/>
                <w:sz w:val="24"/>
                <w:szCs w:val="24"/>
              </w:rPr>
            </w:pPr>
            <w:r>
              <w:rPr>
                <w:rFonts w:hint="eastAsia" w:ascii="宋体" w:hAnsi="宋体" w:cs="宋体"/>
                <w:sz w:val="24"/>
                <w:szCs w:val="24"/>
              </w:rPr>
              <w:t>（</w:t>
            </w:r>
            <w:r>
              <w:rPr>
                <w:rFonts w:hint="eastAsia" w:ascii="宋体" w:hAnsi="宋体"/>
                <w:sz w:val="24"/>
                <w:szCs w:val="24"/>
              </w:rPr>
              <w:t>同一人只计一次得分</w:t>
            </w:r>
            <w:r>
              <w:rPr>
                <w:rFonts w:hint="eastAsia" w:ascii="宋体" w:hAnsi="宋体" w:cs="宋体"/>
                <w:sz w:val="24"/>
                <w:szCs w:val="24"/>
              </w:rPr>
              <w:t>）</w:t>
            </w:r>
          </w:p>
          <w:p w14:paraId="67F64507">
            <w:pPr>
              <w:pStyle w:val="10"/>
              <w:rPr>
                <w:rFonts w:ascii="宋体" w:hAnsi="宋体" w:cs="宋体"/>
                <w:sz w:val="24"/>
                <w:szCs w:val="24"/>
              </w:rPr>
            </w:pPr>
            <w:r>
              <w:rPr>
                <w:rFonts w:hint="eastAsia" w:ascii="宋体" w:hAnsi="宋体" w:cs="宋体"/>
                <w:b/>
                <w:sz w:val="24"/>
                <w:szCs w:val="24"/>
              </w:rPr>
              <w:t>【需提供人员证书复印件及投标人为其缴纳的近三个月（不含投标当月）中任意一个月的社保缴纳证明复印件加盖投标人公章放入投标文件中，未提供的不得分】</w:t>
            </w:r>
          </w:p>
        </w:tc>
      </w:tr>
      <w:tr w14:paraId="557C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6FC68C29">
            <w:pPr>
              <w:spacing w:line="360" w:lineRule="auto"/>
              <w:rPr>
                <w:rFonts w:ascii="宋体" w:hAnsi="宋体" w:cs="宋体"/>
                <w:color w:val="000000"/>
                <w:sz w:val="24"/>
                <w:szCs w:val="24"/>
              </w:rPr>
            </w:pPr>
          </w:p>
        </w:tc>
        <w:tc>
          <w:tcPr>
            <w:tcW w:w="833" w:type="dxa"/>
            <w:tcBorders>
              <w:top w:val="single" w:color="auto" w:sz="4" w:space="0"/>
              <w:left w:val="single" w:color="auto" w:sz="4" w:space="0"/>
              <w:right w:val="single" w:color="auto" w:sz="4" w:space="0"/>
            </w:tcBorders>
            <w:noWrap/>
            <w:vAlign w:val="center"/>
          </w:tcPr>
          <w:p w14:paraId="2EFC024C">
            <w:pPr>
              <w:snapToGrid w:val="0"/>
              <w:jc w:val="center"/>
              <w:rPr>
                <w:rFonts w:ascii="宋体" w:hAnsi="宋体" w:cs="宋体"/>
                <w:color w:val="000000"/>
                <w:sz w:val="24"/>
                <w:szCs w:val="24"/>
              </w:rPr>
            </w:pPr>
            <w:r>
              <w:rPr>
                <w:rFonts w:hint="eastAsia" w:ascii="宋体" w:hAnsi="宋体"/>
                <w:sz w:val="24"/>
                <w:szCs w:val="24"/>
              </w:rPr>
              <w:t>8</w:t>
            </w:r>
          </w:p>
        </w:tc>
        <w:tc>
          <w:tcPr>
            <w:tcW w:w="1533" w:type="dxa"/>
            <w:tcBorders>
              <w:top w:val="single" w:color="auto" w:sz="4" w:space="0"/>
              <w:left w:val="single" w:color="auto" w:sz="4" w:space="0"/>
              <w:right w:val="single" w:color="auto" w:sz="4" w:space="0"/>
            </w:tcBorders>
            <w:noWrap/>
            <w:vAlign w:val="center"/>
          </w:tcPr>
          <w:p w14:paraId="14F0EBC3">
            <w:pPr>
              <w:spacing w:after="96"/>
              <w:jc w:val="center"/>
              <w:rPr>
                <w:rFonts w:ascii="宋体" w:hAnsi="宋体" w:cs="宋体"/>
                <w:bCs/>
                <w:color w:val="000000"/>
                <w:sz w:val="24"/>
                <w:szCs w:val="24"/>
              </w:rPr>
            </w:pPr>
            <w:r>
              <w:rPr>
                <w:rFonts w:ascii="宋体" w:hAnsi="宋体"/>
                <w:bCs/>
                <w:sz w:val="24"/>
                <w:szCs w:val="24"/>
              </w:rPr>
              <w:t>业绩</w:t>
            </w:r>
          </w:p>
        </w:tc>
        <w:tc>
          <w:tcPr>
            <w:tcW w:w="890" w:type="dxa"/>
            <w:tcBorders>
              <w:top w:val="single" w:color="auto" w:sz="4" w:space="0"/>
              <w:left w:val="single" w:color="auto" w:sz="4" w:space="0"/>
              <w:right w:val="single" w:color="auto" w:sz="4" w:space="0"/>
            </w:tcBorders>
            <w:noWrap/>
            <w:vAlign w:val="center"/>
          </w:tcPr>
          <w:p w14:paraId="79915C9F">
            <w:pPr>
              <w:snapToGrid w:val="0"/>
              <w:jc w:val="center"/>
              <w:rPr>
                <w:rFonts w:ascii="宋体" w:hAnsi="宋体" w:cs="宋体"/>
                <w:color w:val="000000"/>
                <w:sz w:val="24"/>
                <w:szCs w:val="24"/>
              </w:rPr>
            </w:pPr>
            <w:r>
              <w:rPr>
                <w:rFonts w:hint="eastAsia" w:ascii="宋体" w:hAnsi="宋体"/>
                <w:bCs/>
                <w:sz w:val="24"/>
                <w:szCs w:val="24"/>
              </w:rPr>
              <w:t>15</w:t>
            </w:r>
          </w:p>
        </w:tc>
        <w:tc>
          <w:tcPr>
            <w:tcW w:w="6042" w:type="dxa"/>
            <w:tcBorders>
              <w:top w:val="single" w:color="auto" w:sz="4" w:space="0"/>
              <w:left w:val="single" w:color="auto" w:sz="4" w:space="0"/>
              <w:right w:val="single" w:color="auto" w:sz="4" w:space="0"/>
            </w:tcBorders>
            <w:noWrap/>
            <w:vAlign w:val="center"/>
          </w:tcPr>
          <w:p w14:paraId="589B3639">
            <w:pPr>
              <w:spacing w:after="96"/>
              <w:rPr>
                <w:rFonts w:ascii="宋体" w:hAnsi="宋体" w:cs="宋体"/>
                <w:sz w:val="24"/>
                <w:szCs w:val="24"/>
              </w:rPr>
            </w:pPr>
            <w:r>
              <w:rPr>
                <w:rFonts w:hint="eastAsia" w:ascii="宋体" w:hAnsi="宋体"/>
                <w:sz w:val="24"/>
                <w:szCs w:val="24"/>
              </w:rPr>
              <w:t>供应商近三年(合同签定时间为准)完成过临时用地组卷、征地组卷、林地组卷报批等类似项目业绩，有一个得</w:t>
            </w:r>
            <w:r>
              <w:rPr>
                <w:rFonts w:ascii="宋体" w:hAnsi="宋体"/>
                <w:sz w:val="24"/>
                <w:szCs w:val="24"/>
              </w:rPr>
              <w:t>3</w:t>
            </w:r>
            <w:r>
              <w:rPr>
                <w:rFonts w:hint="eastAsia" w:ascii="宋体" w:hAnsi="宋体"/>
                <w:sz w:val="24"/>
                <w:szCs w:val="24"/>
              </w:rPr>
              <w:t>分，最多得</w:t>
            </w:r>
            <w:r>
              <w:rPr>
                <w:rFonts w:ascii="宋体" w:hAnsi="宋体"/>
                <w:sz w:val="24"/>
                <w:szCs w:val="24"/>
              </w:rPr>
              <w:t>15</w:t>
            </w:r>
            <w:r>
              <w:rPr>
                <w:rFonts w:hint="eastAsia" w:ascii="宋体" w:hAnsi="宋体"/>
                <w:sz w:val="24"/>
                <w:szCs w:val="24"/>
              </w:rPr>
              <w:t>分。</w:t>
            </w:r>
            <w:r>
              <w:rPr>
                <w:rFonts w:hint="eastAsia" w:ascii="宋体" w:hAnsi="宋体"/>
                <w:b/>
                <w:bCs/>
                <w:sz w:val="24"/>
                <w:szCs w:val="24"/>
              </w:rPr>
              <w:t>注：</w:t>
            </w:r>
            <w:r>
              <w:rPr>
                <w:rFonts w:hint="eastAsia" w:ascii="宋体" w:hAnsi="宋体" w:eastAsia="宋体" w:cs="Times New Roman"/>
                <w:b/>
                <w:bCs/>
                <w:sz w:val="21"/>
                <w:szCs w:val="21"/>
                <w:highlight w:val="none"/>
              </w:rPr>
              <w:t>注：</w:t>
            </w:r>
            <w:r>
              <w:rPr>
                <w:rFonts w:hint="eastAsia" w:ascii="宋体" w:hAnsi="宋体" w:cs="Times New Roman"/>
                <w:b/>
                <w:bCs/>
                <w:sz w:val="21"/>
                <w:szCs w:val="21"/>
                <w:highlight w:val="none"/>
                <w:lang w:val="en-US" w:eastAsia="zh-CN"/>
              </w:rPr>
              <w:t>1、</w:t>
            </w:r>
            <w:r>
              <w:rPr>
                <w:rFonts w:hint="eastAsia" w:ascii="宋体" w:hAnsi="宋体" w:eastAsia="宋体" w:cs="Times New Roman"/>
                <w:b/>
                <w:bCs/>
                <w:sz w:val="21"/>
                <w:szCs w:val="21"/>
                <w:highlight w:val="none"/>
              </w:rPr>
              <w:t>须</w:t>
            </w:r>
            <w:r>
              <w:rPr>
                <w:rFonts w:hint="eastAsia" w:ascii="宋体" w:hAnsi="宋体" w:eastAsia="宋体" w:cs="Times New Roman"/>
                <w:b/>
                <w:bCs/>
                <w:sz w:val="21"/>
                <w:szCs w:val="21"/>
                <w:highlight w:val="none"/>
                <w:lang w:val="zh-TW"/>
              </w:rPr>
              <w:t>提供合同复印件加盖公章附于</w:t>
            </w:r>
            <w:r>
              <w:rPr>
                <w:rFonts w:hint="eastAsia" w:ascii="宋体" w:hAnsi="宋体" w:eastAsia="宋体" w:cs="Times New Roman"/>
                <w:b/>
                <w:bCs/>
                <w:sz w:val="21"/>
                <w:szCs w:val="21"/>
                <w:highlight w:val="none"/>
                <w:lang w:val="zh-TW" w:eastAsia="zh-CN"/>
              </w:rPr>
              <w:t>投标</w:t>
            </w:r>
            <w:r>
              <w:rPr>
                <w:rFonts w:hint="eastAsia" w:ascii="宋体" w:hAnsi="宋体" w:eastAsia="宋体" w:cs="Times New Roman"/>
                <w:b/>
                <w:bCs/>
                <w:sz w:val="21"/>
                <w:szCs w:val="21"/>
                <w:highlight w:val="none"/>
                <w:lang w:val="zh-TW"/>
              </w:rPr>
              <w:t>文件，未提供</w:t>
            </w:r>
            <w:r>
              <w:rPr>
                <w:rFonts w:hint="eastAsia" w:ascii="Times New Roman" w:hAnsi="Times New Roman" w:eastAsia="宋体" w:cs="Times New Roman"/>
                <w:b/>
                <w:bCs/>
                <w:sz w:val="21"/>
                <w:szCs w:val="21"/>
                <w:highlight w:val="none"/>
                <w:lang w:val="zh-TW"/>
              </w:rPr>
              <w:t>或者资料不全均</w:t>
            </w:r>
            <w:r>
              <w:rPr>
                <w:rFonts w:hint="eastAsia" w:ascii="宋体" w:hAnsi="宋体" w:eastAsia="宋体" w:cs="Times New Roman"/>
                <w:b/>
                <w:bCs/>
                <w:sz w:val="21"/>
                <w:szCs w:val="21"/>
                <w:highlight w:val="none"/>
                <w:lang w:val="zh-TW"/>
              </w:rPr>
              <w:t>不得分。</w:t>
            </w:r>
          </w:p>
        </w:tc>
      </w:tr>
      <w:tr w14:paraId="6F08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127D3AE5">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694922F4">
            <w:pPr>
              <w:snapToGrid w:val="0"/>
              <w:jc w:val="center"/>
              <w:rPr>
                <w:rFonts w:ascii="宋体" w:hAnsi="宋体" w:cs="宋体"/>
                <w:color w:val="000000"/>
                <w:sz w:val="24"/>
                <w:szCs w:val="24"/>
              </w:rPr>
            </w:pPr>
            <w:r>
              <w:rPr>
                <w:rFonts w:hint="eastAsia" w:ascii="宋体" w:hAnsi="宋体"/>
                <w:sz w:val="24"/>
                <w:szCs w:val="24"/>
              </w:rPr>
              <w:t>9</w:t>
            </w:r>
          </w:p>
        </w:tc>
        <w:tc>
          <w:tcPr>
            <w:tcW w:w="1533" w:type="dxa"/>
            <w:tcBorders>
              <w:top w:val="single" w:color="auto" w:sz="4" w:space="0"/>
              <w:left w:val="single" w:color="auto" w:sz="4" w:space="0"/>
              <w:bottom w:val="single" w:color="auto" w:sz="4" w:space="0"/>
              <w:right w:val="single" w:color="auto" w:sz="4" w:space="0"/>
            </w:tcBorders>
            <w:noWrap/>
            <w:vAlign w:val="center"/>
          </w:tcPr>
          <w:p w14:paraId="35CEDA96">
            <w:pPr>
              <w:spacing w:after="96"/>
              <w:jc w:val="center"/>
              <w:rPr>
                <w:rFonts w:ascii="宋体" w:hAnsi="宋体" w:cs="宋体"/>
                <w:bCs/>
                <w:color w:val="000000"/>
                <w:sz w:val="24"/>
                <w:szCs w:val="24"/>
              </w:rPr>
            </w:pPr>
            <w:r>
              <w:rPr>
                <w:rFonts w:hint="eastAsia"/>
                <w:sz w:val="24"/>
                <w:szCs w:val="24"/>
              </w:rPr>
              <w:t>综合实力</w:t>
            </w:r>
          </w:p>
        </w:tc>
        <w:tc>
          <w:tcPr>
            <w:tcW w:w="890" w:type="dxa"/>
            <w:tcBorders>
              <w:top w:val="single" w:color="auto" w:sz="4" w:space="0"/>
              <w:left w:val="single" w:color="auto" w:sz="4" w:space="0"/>
              <w:bottom w:val="single" w:color="auto" w:sz="4" w:space="0"/>
              <w:right w:val="single" w:color="auto" w:sz="4" w:space="0"/>
            </w:tcBorders>
            <w:noWrap/>
            <w:vAlign w:val="center"/>
          </w:tcPr>
          <w:p w14:paraId="5BA46E34">
            <w:pPr>
              <w:snapToGrid w:val="0"/>
              <w:jc w:val="center"/>
              <w:rPr>
                <w:rFonts w:ascii="宋体" w:hAnsi="宋体" w:cs="宋体"/>
                <w:color w:val="000000"/>
                <w:sz w:val="24"/>
                <w:szCs w:val="24"/>
              </w:rPr>
            </w:pPr>
            <w:r>
              <w:rPr>
                <w:rFonts w:ascii="宋体" w:hAnsi="宋体"/>
                <w:color w:val="000000"/>
                <w:sz w:val="24"/>
                <w:szCs w:val="24"/>
              </w:rPr>
              <w:t>6</w:t>
            </w:r>
          </w:p>
        </w:tc>
        <w:tc>
          <w:tcPr>
            <w:tcW w:w="6042" w:type="dxa"/>
            <w:tcBorders>
              <w:top w:val="single" w:color="auto" w:sz="4" w:space="0"/>
              <w:left w:val="single" w:color="auto" w:sz="4" w:space="0"/>
              <w:bottom w:val="single" w:color="auto" w:sz="4" w:space="0"/>
              <w:right w:val="single" w:color="auto" w:sz="4" w:space="0"/>
            </w:tcBorders>
            <w:noWrap/>
            <w:vAlign w:val="center"/>
          </w:tcPr>
          <w:p w14:paraId="4E24A631">
            <w:pPr>
              <w:spacing w:after="96"/>
              <w:rPr>
                <w:rFonts w:ascii="宋体" w:hAnsi="宋体" w:cs="宋体"/>
                <w:color w:val="000000"/>
                <w:sz w:val="24"/>
                <w:szCs w:val="24"/>
              </w:rPr>
            </w:pPr>
            <w:r>
              <w:rPr>
                <w:rFonts w:hint="eastAsia"/>
                <w:sz w:val="24"/>
                <w:szCs w:val="24"/>
              </w:rPr>
              <w:t>供应商具有有效期内的质量管理体系、环境管理体系、职业健康安全管理体系认证证书的有一项得2分最多得</w:t>
            </w:r>
            <w:r>
              <w:rPr>
                <w:sz w:val="24"/>
                <w:szCs w:val="24"/>
              </w:rPr>
              <w:t>6</w:t>
            </w:r>
            <w:r>
              <w:rPr>
                <w:rFonts w:hint="eastAsia"/>
                <w:sz w:val="24"/>
                <w:szCs w:val="24"/>
              </w:rPr>
              <w:t>分。</w:t>
            </w:r>
            <w:r>
              <w:rPr>
                <w:rFonts w:hint="eastAsia"/>
                <w:b/>
                <w:bCs/>
                <w:sz w:val="24"/>
                <w:szCs w:val="24"/>
              </w:rPr>
              <w:t>注:提供证书复印件并加盖公章附于投标文件，未提供或者资料不全均不得分注：需提供证书复印件加盖公章附于投标文件，</w:t>
            </w:r>
            <w:r>
              <w:rPr>
                <w:rFonts w:hint="eastAsia"/>
                <w:b/>
                <w:bCs/>
                <w:sz w:val="24"/>
                <w:szCs w:val="24"/>
                <w:lang w:val="zh-TW"/>
              </w:rPr>
              <w:t>未提供或者资料不全均不得分</w:t>
            </w:r>
            <w:r>
              <w:rPr>
                <w:rFonts w:hint="eastAsia"/>
                <w:b/>
                <w:bCs/>
                <w:sz w:val="24"/>
                <w:szCs w:val="24"/>
              </w:rPr>
              <w:t>。</w:t>
            </w:r>
          </w:p>
        </w:tc>
      </w:tr>
    </w:tbl>
    <w:p w14:paraId="376861F8">
      <w:pPr>
        <w:pStyle w:val="6"/>
        <w:spacing w:after="0" w:line="360" w:lineRule="auto"/>
        <w:ind w:left="0" w:leftChars="0"/>
        <w:rPr>
          <w:rFonts w:ascii="宋体" w:hAnsi="宋体" w:cs="宋体"/>
          <w:sz w:val="24"/>
          <w:szCs w:val="24"/>
        </w:rPr>
      </w:pPr>
    </w:p>
    <w:p w14:paraId="3A83486D">
      <w:pPr>
        <w:pStyle w:val="6"/>
        <w:spacing w:after="0" w:line="360" w:lineRule="auto"/>
        <w:ind w:left="0" w:leftChars="0"/>
        <w:rPr>
          <w:rFonts w:ascii="宋体" w:hAnsi="宋体" w:cs="宋体"/>
          <w:sz w:val="24"/>
          <w:szCs w:val="24"/>
        </w:rPr>
      </w:pPr>
      <w:r>
        <w:rPr>
          <w:rFonts w:hint="eastAsia" w:ascii="宋体" w:hAnsi="宋体" w:cs="宋体"/>
          <w:sz w:val="24"/>
          <w:szCs w:val="24"/>
        </w:rPr>
        <w:t>2、价格分</w:t>
      </w:r>
    </w:p>
    <w:tbl>
      <w:tblPr>
        <w:tblStyle w:val="18"/>
        <w:tblpPr w:leftFromText="180" w:rightFromText="180" w:vertAnchor="text" w:horzAnchor="page" w:tblpXSpec="center" w:tblpY="289"/>
        <w:tblOverlap w:val="never"/>
        <w:tblW w:w="10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00"/>
        <w:gridCol w:w="1210"/>
        <w:gridCol w:w="7076"/>
      </w:tblGrid>
      <w:tr w14:paraId="05F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42" w:type="dxa"/>
            <w:noWrap/>
            <w:vAlign w:val="center"/>
          </w:tcPr>
          <w:p w14:paraId="597E5590">
            <w:pPr>
              <w:spacing w:line="360" w:lineRule="auto"/>
              <w:jc w:val="center"/>
              <w:rPr>
                <w:rFonts w:ascii="宋体" w:hAnsi="宋体" w:cs="宋体"/>
                <w:sz w:val="24"/>
                <w:szCs w:val="24"/>
              </w:rPr>
            </w:pPr>
            <w:r>
              <w:rPr>
                <w:rFonts w:hint="eastAsia" w:ascii="宋体" w:hAnsi="宋体" w:cs="宋体"/>
                <w:sz w:val="24"/>
                <w:szCs w:val="24"/>
              </w:rPr>
              <w:t>序号</w:t>
            </w:r>
          </w:p>
        </w:tc>
        <w:tc>
          <w:tcPr>
            <w:tcW w:w="1500" w:type="dxa"/>
            <w:noWrap/>
            <w:vAlign w:val="center"/>
          </w:tcPr>
          <w:p w14:paraId="5EA55897">
            <w:pPr>
              <w:spacing w:line="360" w:lineRule="auto"/>
              <w:jc w:val="center"/>
              <w:rPr>
                <w:rFonts w:ascii="宋体" w:hAnsi="宋体" w:cs="宋体"/>
                <w:sz w:val="24"/>
                <w:szCs w:val="24"/>
              </w:rPr>
            </w:pPr>
            <w:r>
              <w:rPr>
                <w:rFonts w:hint="eastAsia" w:ascii="宋体" w:hAnsi="宋体" w:cs="宋体"/>
                <w:sz w:val="24"/>
                <w:szCs w:val="24"/>
              </w:rPr>
              <w:t>评审项目</w:t>
            </w:r>
          </w:p>
        </w:tc>
        <w:tc>
          <w:tcPr>
            <w:tcW w:w="1210" w:type="dxa"/>
            <w:noWrap/>
            <w:vAlign w:val="center"/>
          </w:tcPr>
          <w:p w14:paraId="08448C8C">
            <w:pPr>
              <w:spacing w:line="360" w:lineRule="auto"/>
              <w:jc w:val="center"/>
              <w:rPr>
                <w:rFonts w:ascii="宋体" w:hAnsi="宋体" w:cs="宋体"/>
                <w:sz w:val="24"/>
                <w:szCs w:val="24"/>
              </w:rPr>
            </w:pPr>
            <w:r>
              <w:rPr>
                <w:rFonts w:hint="eastAsia" w:ascii="宋体" w:hAnsi="宋体" w:cs="宋体"/>
                <w:sz w:val="24"/>
                <w:szCs w:val="24"/>
              </w:rPr>
              <w:t>分值</w:t>
            </w:r>
          </w:p>
        </w:tc>
        <w:tc>
          <w:tcPr>
            <w:tcW w:w="7076" w:type="dxa"/>
            <w:noWrap/>
            <w:vAlign w:val="center"/>
          </w:tcPr>
          <w:p w14:paraId="48D09BB8">
            <w:pPr>
              <w:spacing w:line="360" w:lineRule="auto"/>
              <w:jc w:val="center"/>
              <w:rPr>
                <w:rFonts w:ascii="宋体" w:hAnsi="宋体" w:cs="宋体"/>
              </w:rPr>
            </w:pPr>
            <w:r>
              <w:rPr>
                <w:rFonts w:hint="eastAsia" w:ascii="宋体" w:hAnsi="宋体" w:cs="宋体"/>
                <w:sz w:val="24"/>
                <w:szCs w:val="24"/>
              </w:rPr>
              <w:t>评审细则</w:t>
            </w:r>
          </w:p>
        </w:tc>
      </w:tr>
      <w:tr w14:paraId="2A12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42" w:type="dxa"/>
            <w:noWrap/>
            <w:vAlign w:val="center"/>
          </w:tcPr>
          <w:p w14:paraId="4BAC9F08">
            <w:pPr>
              <w:spacing w:line="360" w:lineRule="auto"/>
              <w:jc w:val="center"/>
              <w:rPr>
                <w:rFonts w:ascii="宋体" w:hAnsi="宋体" w:cs="宋体"/>
                <w:sz w:val="24"/>
                <w:szCs w:val="24"/>
              </w:rPr>
            </w:pPr>
            <w:r>
              <w:rPr>
                <w:rFonts w:hint="eastAsia" w:ascii="宋体" w:hAnsi="宋体" w:cs="宋体"/>
                <w:sz w:val="24"/>
                <w:szCs w:val="24"/>
              </w:rPr>
              <w:t>1</w:t>
            </w:r>
          </w:p>
        </w:tc>
        <w:tc>
          <w:tcPr>
            <w:tcW w:w="1500" w:type="dxa"/>
            <w:noWrap/>
            <w:vAlign w:val="center"/>
          </w:tcPr>
          <w:p w14:paraId="385DCE53">
            <w:pPr>
              <w:spacing w:line="360" w:lineRule="auto"/>
              <w:jc w:val="center"/>
              <w:rPr>
                <w:rFonts w:ascii="宋体" w:hAnsi="宋体" w:cs="宋体"/>
                <w:sz w:val="24"/>
                <w:szCs w:val="24"/>
              </w:rPr>
            </w:pPr>
            <w:r>
              <w:rPr>
                <w:rFonts w:hint="eastAsia" w:ascii="宋体" w:hAnsi="宋体" w:cs="宋体"/>
                <w:sz w:val="24"/>
                <w:szCs w:val="24"/>
              </w:rPr>
              <w:t>价格部分</w:t>
            </w:r>
          </w:p>
        </w:tc>
        <w:tc>
          <w:tcPr>
            <w:tcW w:w="1210" w:type="dxa"/>
            <w:noWrap/>
            <w:vAlign w:val="center"/>
          </w:tcPr>
          <w:p w14:paraId="01C10685">
            <w:pPr>
              <w:spacing w:line="360" w:lineRule="auto"/>
              <w:jc w:val="center"/>
              <w:rPr>
                <w:rFonts w:ascii="宋体" w:hAnsi="宋体" w:cs="宋体"/>
                <w:sz w:val="24"/>
                <w:szCs w:val="24"/>
              </w:rPr>
            </w:pPr>
            <w:r>
              <w:rPr>
                <w:rFonts w:hint="eastAsia" w:ascii="宋体" w:hAnsi="宋体" w:cs="宋体"/>
                <w:sz w:val="24"/>
                <w:szCs w:val="24"/>
              </w:rPr>
              <w:t>10分</w:t>
            </w:r>
          </w:p>
        </w:tc>
        <w:tc>
          <w:tcPr>
            <w:tcW w:w="7076" w:type="dxa"/>
            <w:noWrap/>
            <w:vAlign w:val="center"/>
          </w:tcPr>
          <w:p w14:paraId="6523D0EA">
            <w:pPr>
              <w:spacing w:line="276" w:lineRule="auto"/>
              <w:rPr>
                <w:rFonts w:ascii="宋体" w:hAnsi="宋体" w:cs="宋体"/>
                <w:sz w:val="24"/>
                <w:szCs w:val="24"/>
              </w:rPr>
            </w:pPr>
            <w:r>
              <w:rPr>
                <w:rFonts w:hint="eastAsia" w:ascii="宋体" w:hAnsi="宋体" w:cs="宋体"/>
                <w:sz w:val="24"/>
                <w:szCs w:val="24"/>
              </w:rPr>
              <w:t>采用低价优先法计算,即满足招标文件要求且投标价格最低的报价为评标基准价，其价格分为 10分。其他投标供应商的价格分统一按照下列公式计算:投标报价得分=(评标基准价/投标报价)X10分。(以四舍五入法，保留两位小数)</w:t>
            </w:r>
          </w:p>
        </w:tc>
      </w:tr>
    </w:tbl>
    <w:p w14:paraId="24F0DDA0">
      <w:pPr>
        <w:spacing w:line="360" w:lineRule="auto"/>
        <w:rPr>
          <w:rFonts w:ascii="宋体" w:hAnsi="宋体" w:cs="宋体"/>
          <w:b/>
          <w:bCs/>
          <w:sz w:val="24"/>
          <w:szCs w:val="24"/>
        </w:rPr>
      </w:pPr>
      <w:r>
        <w:rPr>
          <w:rFonts w:hint="eastAsia" w:ascii="宋体" w:hAnsi="宋体" w:cs="宋体"/>
          <w:b/>
          <w:bCs/>
          <w:sz w:val="24"/>
          <w:szCs w:val="24"/>
        </w:rPr>
        <w:t>备注：</w:t>
      </w:r>
    </w:p>
    <w:p w14:paraId="47730DE7">
      <w:pPr>
        <w:numPr>
          <w:ilvl w:val="0"/>
          <w:numId w:val="11"/>
        </w:numPr>
        <w:autoSpaceDE w:val="0"/>
        <w:autoSpaceDN w:val="0"/>
        <w:spacing w:line="360" w:lineRule="auto"/>
        <w:jc w:val="left"/>
        <w:rPr>
          <w:rFonts w:ascii="宋体" w:hAnsi="宋体" w:cs="宋体"/>
          <w:sz w:val="24"/>
          <w:szCs w:val="24"/>
        </w:rPr>
      </w:pPr>
      <w:r>
        <w:rPr>
          <w:rFonts w:hint="eastAsia" w:ascii="宋体" w:hAnsi="宋体" w:cs="宋体"/>
          <w:sz w:val="24"/>
          <w:szCs w:val="24"/>
        </w:rPr>
        <w:t>评分过程中如出现小数点后三位，采用四舍五入法，最终保留两位小数；</w:t>
      </w:r>
    </w:p>
    <w:p w14:paraId="23E93B66">
      <w:pPr>
        <w:numPr>
          <w:ilvl w:val="0"/>
          <w:numId w:val="11"/>
        </w:numPr>
        <w:autoSpaceDE w:val="0"/>
        <w:autoSpaceDN w:val="0"/>
        <w:spacing w:line="360" w:lineRule="auto"/>
        <w:jc w:val="left"/>
        <w:rPr>
          <w:rFonts w:ascii="宋体" w:hAnsi="宋体" w:cs="宋体"/>
          <w:color w:val="000000"/>
          <w:sz w:val="28"/>
        </w:rPr>
      </w:pPr>
      <w:r>
        <w:rPr>
          <w:rFonts w:hint="eastAsia" w:ascii="宋体" w:hAnsi="宋体" w:cs="宋体"/>
          <w:sz w:val="24"/>
          <w:szCs w:val="24"/>
        </w:rPr>
        <w:t>投标文件中必须提供以上相关证明材料复印件，否则不予加分。</w:t>
      </w:r>
    </w:p>
    <w:p w14:paraId="7522C287">
      <w:pPr>
        <w:numPr>
          <w:ilvl w:val="0"/>
          <w:numId w:val="11"/>
        </w:numPr>
        <w:autoSpaceDE w:val="0"/>
        <w:autoSpaceDN w:val="0"/>
        <w:spacing w:line="360" w:lineRule="auto"/>
        <w:jc w:val="left"/>
        <w:rPr>
          <w:rFonts w:hint="eastAsia" w:ascii="宋体" w:hAnsi="宋体" w:cs="宋体"/>
          <w:sz w:val="24"/>
          <w:szCs w:val="24"/>
        </w:rPr>
      </w:pPr>
      <w:r>
        <w:rPr>
          <w:rFonts w:hint="eastAsia" w:ascii="宋体" w:hAnsi="宋体" w:cs="宋体"/>
          <w:sz w:val="24"/>
          <w:szCs w:val="24"/>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14:paraId="3E7E493C">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评标委员会启动异常低价投标（响应）审查的情形和具体要求，包括：</w:t>
      </w:r>
    </w:p>
    <w:p w14:paraId="4FC612B1">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1、评审过程中出现下列情形之一的，评标委员会应当启动异常低价投标（响应）审查程序：</w:t>
      </w:r>
    </w:p>
    <w:p w14:paraId="23B13425">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①投标（响应）报价低于采购项目预算50%的，即投标（响应）报价&lt;采购项目预算×50%；</w:t>
      </w:r>
    </w:p>
    <w:p w14:paraId="6DF9393D">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②投标（响应）报价低于采购项目最高限价45%的，即投标（响应）报价&lt;采购项目最高限价×45%；</w:t>
      </w:r>
    </w:p>
    <w:p w14:paraId="2B58AF0A">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③评标委员会认定的供应商报价过低、有可能影响产品质量或者不能诚信履约的其他情形。</w:t>
      </w:r>
    </w:p>
    <w:p w14:paraId="022FA67A">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启动异常低价投标（响应）审查后，评标委员会应当要求相关供应商在评标现场在给定的合理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应当在评标报告中进行记录。</w:t>
      </w:r>
    </w:p>
    <w:p w14:paraId="54D4C4BD">
      <w:pPr>
        <w:numPr>
          <w:ilvl w:val="0"/>
          <w:numId w:val="0"/>
        </w:numPr>
        <w:autoSpaceDE w:val="0"/>
        <w:autoSpaceDN w:val="0"/>
        <w:spacing w:line="360" w:lineRule="auto"/>
        <w:jc w:val="left"/>
        <w:rPr>
          <w:rFonts w:hint="eastAsia" w:ascii="宋体" w:hAnsi="宋体" w:cs="宋体"/>
          <w:sz w:val="24"/>
          <w:szCs w:val="24"/>
        </w:rPr>
      </w:pPr>
    </w:p>
    <w:p w14:paraId="32A4126B">
      <w:pPr>
        <w:jc w:val="center"/>
        <w:outlineLvl w:val="0"/>
        <w:rPr>
          <w:rFonts w:hint="eastAsia" w:ascii="宋体" w:hAnsi="宋体"/>
          <w:color w:val="auto"/>
          <w:sz w:val="24"/>
          <w:szCs w:val="24"/>
          <w:highlight w:val="none"/>
          <w:lang w:eastAsia="zh-CN"/>
        </w:rPr>
      </w:pPr>
    </w:p>
    <w:p w14:paraId="287C905A">
      <w:pPr>
        <w:pStyle w:val="14"/>
        <w:ind w:left="0" w:leftChars="0" w:firstLine="0" w:firstLineChars="0"/>
        <w:rPr>
          <w:rFonts w:hint="eastAsia"/>
          <w:color w:val="auto"/>
          <w:highlight w:val="none"/>
          <w:lang w:eastAsia="zh-CN"/>
        </w:rPr>
      </w:pPr>
    </w:p>
    <w:p w14:paraId="3F376572">
      <w:pPr>
        <w:rPr>
          <w:rFonts w:hint="eastAsia"/>
          <w:color w:val="auto"/>
          <w:highlight w:val="none"/>
          <w:lang w:eastAsia="zh-CN"/>
        </w:rPr>
      </w:pPr>
    </w:p>
    <w:p w14:paraId="4CFDFBE1">
      <w:pPr>
        <w:pStyle w:val="8"/>
        <w:rPr>
          <w:rFonts w:hint="eastAsia"/>
          <w:color w:val="auto"/>
          <w:highlight w:val="none"/>
          <w:lang w:eastAsia="zh-CN"/>
        </w:rPr>
      </w:pPr>
    </w:p>
    <w:p w14:paraId="50A0AF2E">
      <w:pPr>
        <w:rPr>
          <w:rFonts w:hint="eastAsia"/>
          <w:color w:val="auto"/>
          <w:highlight w:val="none"/>
          <w:lang w:eastAsia="zh-CN"/>
        </w:rPr>
      </w:pPr>
    </w:p>
    <w:bookmarkEnd w:id="79"/>
    <w:bookmarkEnd w:id="80"/>
    <w:p w14:paraId="0398CD39">
      <w:pPr>
        <w:ind w:firstLine="1960" w:firstLineChars="700"/>
        <w:rPr>
          <w:rFonts w:hint="eastAsia" w:ascii="黑体" w:hAnsi="黑体" w:eastAsia="黑体"/>
          <w:color w:val="auto"/>
          <w:sz w:val="28"/>
          <w:highlight w:val="none"/>
        </w:rPr>
      </w:pPr>
      <w:bookmarkStart w:id="82" w:name="_Toc3082"/>
      <w:bookmarkStart w:id="83" w:name="_Toc25967"/>
    </w:p>
    <w:p w14:paraId="7A439F4A">
      <w:pPr>
        <w:ind w:firstLine="1960" w:firstLineChars="700"/>
        <w:rPr>
          <w:rFonts w:hint="eastAsia" w:ascii="黑体" w:hAnsi="黑体" w:eastAsia="黑体"/>
          <w:color w:val="auto"/>
          <w:sz w:val="28"/>
          <w:highlight w:val="none"/>
        </w:rPr>
      </w:pPr>
    </w:p>
    <w:p w14:paraId="23AA5516">
      <w:pPr>
        <w:ind w:firstLine="1960" w:firstLineChars="700"/>
        <w:rPr>
          <w:rFonts w:hint="eastAsia" w:ascii="黑体" w:hAnsi="黑体" w:eastAsia="黑体"/>
          <w:color w:val="auto"/>
          <w:sz w:val="28"/>
          <w:highlight w:val="none"/>
        </w:rPr>
      </w:pPr>
    </w:p>
    <w:p w14:paraId="37461427">
      <w:pPr>
        <w:ind w:firstLine="1960" w:firstLineChars="700"/>
        <w:rPr>
          <w:rFonts w:hint="eastAsia" w:ascii="黑体" w:hAnsi="黑体" w:eastAsia="黑体"/>
          <w:color w:val="auto"/>
          <w:sz w:val="28"/>
          <w:highlight w:val="none"/>
        </w:rPr>
      </w:pPr>
    </w:p>
    <w:p w14:paraId="2D134863">
      <w:pPr>
        <w:ind w:firstLine="1960" w:firstLineChars="700"/>
        <w:rPr>
          <w:rFonts w:hint="eastAsia" w:ascii="黑体" w:hAnsi="黑体" w:eastAsia="黑体"/>
          <w:color w:val="auto"/>
          <w:sz w:val="28"/>
          <w:highlight w:val="none"/>
        </w:rPr>
      </w:pPr>
    </w:p>
    <w:p w14:paraId="10E01CB2">
      <w:pPr>
        <w:ind w:firstLine="2800" w:firstLineChars="100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五</w:t>
      </w:r>
      <w:r>
        <w:rPr>
          <w:rFonts w:hint="eastAsia" w:ascii="黑体" w:hAnsi="黑体" w:eastAsia="黑体"/>
          <w:color w:val="auto"/>
          <w:sz w:val="28"/>
          <w:highlight w:val="none"/>
        </w:rPr>
        <w:t>章 采购合同（格式）</w:t>
      </w:r>
    </w:p>
    <w:p w14:paraId="4A7010C1">
      <w:pPr>
        <w:widowControl w:val="0"/>
        <w:autoSpaceDE w:val="0"/>
        <w:autoSpaceDN w:val="0"/>
        <w:adjustRightInd w:val="0"/>
        <w:ind w:firstLine="0"/>
        <w:jc w:val="center"/>
        <w:rPr>
          <w:rFonts w:hint="eastAsia" w:ascii="宋体" w:hAnsi="宋体" w:eastAsia="宋体" w:cs="宋体"/>
          <w:b/>
          <w:kern w:val="2"/>
          <w:sz w:val="24"/>
          <w:szCs w:val="24"/>
          <w:lang w:val="en-US" w:eastAsia="zh-CN" w:bidi="ar-SA"/>
        </w:rPr>
      </w:pPr>
    </w:p>
    <w:p w14:paraId="6173B0D2">
      <w:pPr>
        <w:widowControl w:val="0"/>
        <w:autoSpaceDE w:val="0"/>
        <w:autoSpaceDN w:val="0"/>
        <w:adjustRightInd w:val="0"/>
        <w:ind w:firstLine="0"/>
        <w:jc w:val="center"/>
        <w:rPr>
          <w:rFonts w:hint="eastAsia" w:ascii="宋体" w:hAnsi="宋体" w:eastAsia="宋体" w:cs="宋体"/>
          <w:b/>
          <w:kern w:val="2"/>
          <w:sz w:val="24"/>
          <w:szCs w:val="24"/>
          <w:lang w:val="en-US" w:eastAsia="zh-CN" w:bidi="ar-SA"/>
        </w:rPr>
      </w:pPr>
    </w:p>
    <w:p w14:paraId="2C83443E">
      <w:pPr>
        <w:widowControl w:val="0"/>
        <w:autoSpaceDE w:val="0"/>
        <w:autoSpaceDN w:val="0"/>
        <w:adjustRightInd w:val="0"/>
        <w:ind w:firstLine="0"/>
        <w:jc w:val="center"/>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第一部分 合同书</w:t>
      </w:r>
    </w:p>
    <w:p w14:paraId="1655726B">
      <w:pPr>
        <w:widowControl w:val="0"/>
        <w:autoSpaceDE w:val="0"/>
        <w:autoSpaceDN w:val="0"/>
        <w:adjustRightInd w:val="0"/>
        <w:ind w:firstLine="0"/>
        <w:jc w:val="left"/>
        <w:rPr>
          <w:rFonts w:ascii="宋体" w:hAnsi="宋体" w:eastAsia="宋体" w:cs="宋体"/>
          <w:kern w:val="2"/>
          <w:sz w:val="24"/>
          <w:szCs w:val="24"/>
          <w:lang w:val="en-US" w:eastAsia="zh-CN" w:bidi="ar-SA"/>
        </w:rPr>
      </w:pPr>
    </w:p>
    <w:p w14:paraId="6893190A">
      <w:pPr>
        <w:widowControl w:val="0"/>
        <w:autoSpaceDE w:val="0"/>
        <w:autoSpaceDN w:val="0"/>
        <w:adjustRightInd w:val="0"/>
        <w:ind w:firstLine="0"/>
        <w:jc w:val="left"/>
        <w:rPr>
          <w:rFonts w:ascii="宋体" w:hAnsi="宋体" w:eastAsia="宋体" w:cs="宋体"/>
          <w:kern w:val="2"/>
          <w:sz w:val="24"/>
          <w:szCs w:val="24"/>
          <w:lang w:val="en-US" w:eastAsia="zh-CN" w:bidi="ar-SA"/>
        </w:rPr>
      </w:pPr>
    </w:p>
    <w:p w14:paraId="78C54ADA">
      <w:pPr>
        <w:spacing w:line="22" w:lineRule="atLeast"/>
        <w:rPr>
          <w:rFonts w:ascii="宋体" w:hAnsi="宋体" w:eastAsia="宋体" w:cs="宋体"/>
          <w:sz w:val="24"/>
        </w:rPr>
      </w:pPr>
    </w:p>
    <w:p w14:paraId="314F5E4D">
      <w:pPr>
        <w:spacing w:line="22" w:lineRule="atLeast"/>
        <w:ind w:left="960"/>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0FA7AFF0">
      <w:pPr>
        <w:widowControl w:val="0"/>
        <w:spacing w:line="22" w:lineRule="atLeast"/>
        <w:jc w:val="both"/>
        <w:rPr>
          <w:rFonts w:ascii="宋体" w:hAnsi="宋体" w:eastAsia="宋体" w:cs="宋体"/>
          <w:kern w:val="2"/>
          <w:sz w:val="24"/>
          <w:szCs w:val="24"/>
          <w:lang w:val="en-US" w:eastAsia="zh-CN" w:bidi="ar-SA"/>
        </w:rPr>
      </w:pPr>
    </w:p>
    <w:p w14:paraId="1352E79F">
      <w:pPr>
        <w:widowControl w:val="0"/>
        <w:spacing w:line="22" w:lineRule="atLeast"/>
        <w:jc w:val="both"/>
        <w:rPr>
          <w:rFonts w:ascii="宋体" w:hAnsi="宋体" w:eastAsia="宋体" w:cs="宋体"/>
          <w:kern w:val="2"/>
          <w:sz w:val="24"/>
          <w:szCs w:val="24"/>
          <w:lang w:val="en-US" w:eastAsia="zh-CN" w:bidi="ar-SA"/>
        </w:rPr>
      </w:pPr>
      <w:r>
        <w:rPr>
          <w:rFonts w:hint="eastAsia" w:ascii="宋体" w:hAnsi="宋体" w:eastAsia="宋体" w:cs="宋体"/>
          <w:bCs/>
          <w:kern w:val="2"/>
          <w:sz w:val="24"/>
          <w:lang w:val="en-US" w:eastAsia="zh-CN" w:bidi="ar-SA"/>
        </w:rPr>
        <w:t xml:space="preserve">        项目编号：</w:t>
      </w:r>
      <w:r>
        <w:rPr>
          <w:rFonts w:hint="eastAsia" w:ascii="宋体" w:hAnsi="宋体" w:eastAsia="宋体" w:cs="宋体"/>
          <w:bCs/>
          <w:kern w:val="2"/>
          <w:sz w:val="24"/>
          <w:u w:val="single"/>
          <w:lang w:val="en-US" w:eastAsia="zh-CN" w:bidi="ar-SA"/>
        </w:rPr>
        <w:t xml:space="preserve">                                    </w:t>
      </w:r>
      <w:r>
        <w:rPr>
          <w:rFonts w:hint="eastAsia" w:ascii="宋体" w:hAnsi="宋体" w:eastAsia="宋体" w:cs="宋体"/>
          <w:bCs/>
          <w:kern w:val="2"/>
          <w:sz w:val="24"/>
          <w:lang w:val="en-US" w:eastAsia="zh-CN" w:bidi="ar-SA"/>
        </w:rPr>
        <w:t xml:space="preserve">       </w:t>
      </w:r>
    </w:p>
    <w:p w14:paraId="4F3D187C">
      <w:pPr>
        <w:rPr>
          <w:rFonts w:ascii="宋体" w:hAnsi="宋体" w:eastAsia="宋体" w:cs="宋体"/>
        </w:rPr>
      </w:pPr>
    </w:p>
    <w:p w14:paraId="51E84335">
      <w:pPr>
        <w:spacing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543CFA91">
      <w:pPr>
        <w:spacing w:line="22" w:lineRule="atLeast"/>
        <w:rPr>
          <w:rFonts w:ascii="宋体" w:hAnsi="宋体" w:eastAsia="宋体" w:cs="宋体"/>
          <w:sz w:val="24"/>
        </w:rPr>
      </w:pPr>
    </w:p>
    <w:p w14:paraId="3F039908">
      <w:pPr>
        <w:spacing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E639367">
      <w:pPr>
        <w:spacing w:line="22" w:lineRule="atLeast"/>
        <w:rPr>
          <w:rFonts w:ascii="宋体" w:hAnsi="宋体" w:eastAsia="宋体" w:cs="宋体"/>
          <w:sz w:val="24"/>
        </w:rPr>
      </w:pPr>
    </w:p>
    <w:p w14:paraId="0F3EB31B">
      <w:pPr>
        <w:spacing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51FB250F">
      <w:pPr>
        <w:spacing w:line="22" w:lineRule="atLeast"/>
        <w:rPr>
          <w:rFonts w:ascii="宋体" w:hAnsi="宋体" w:eastAsia="宋体" w:cs="宋体"/>
          <w:sz w:val="24"/>
        </w:rPr>
      </w:pPr>
    </w:p>
    <w:p w14:paraId="5F71678B">
      <w:pPr>
        <w:spacing w:line="560" w:lineRule="exact"/>
        <w:ind w:firstLine="480" w:firstLineChars="200"/>
        <w:rPr>
          <w:rFonts w:ascii="宋体" w:hAnsi="宋体" w:eastAsia="宋体" w:cs="宋体"/>
          <w:sz w:val="24"/>
        </w:rPr>
      </w:pPr>
      <w:r>
        <w:rPr>
          <w:rFonts w:hint="eastAsia" w:ascii="宋体" w:hAnsi="宋体" w:eastAsia="宋体" w:cs="宋体"/>
          <w:sz w:val="24"/>
        </w:rPr>
        <w:t xml:space="preserve">    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EDBC111">
      <w:pPr>
        <w:spacing w:line="560" w:lineRule="exact"/>
        <w:ind w:firstLine="480" w:firstLineChars="200"/>
        <w:rPr>
          <w:rFonts w:ascii="宋体" w:hAnsi="宋体" w:eastAsia="宋体" w:cs="宋体"/>
          <w:sz w:val="24"/>
        </w:rPr>
      </w:pPr>
    </w:p>
    <w:p w14:paraId="6BBD49AD">
      <w:pPr>
        <w:spacing w:line="560" w:lineRule="exact"/>
        <w:ind w:firstLine="480" w:firstLineChars="200"/>
        <w:rPr>
          <w:rFonts w:ascii="宋体" w:hAnsi="宋体" w:eastAsia="宋体" w:cs="宋体"/>
          <w:sz w:val="24"/>
        </w:rPr>
      </w:pPr>
    </w:p>
    <w:p w14:paraId="7A1456DD">
      <w:pPr>
        <w:spacing w:line="560" w:lineRule="exact"/>
        <w:ind w:firstLine="480" w:firstLineChars="200"/>
        <w:rPr>
          <w:rFonts w:ascii="宋体" w:hAnsi="宋体" w:eastAsia="宋体" w:cs="宋体"/>
          <w:sz w:val="24"/>
        </w:rPr>
      </w:pPr>
    </w:p>
    <w:p w14:paraId="16BA2BC4">
      <w:pPr>
        <w:spacing w:line="560" w:lineRule="exact"/>
        <w:ind w:firstLine="480" w:firstLineChars="200"/>
        <w:rPr>
          <w:rFonts w:ascii="宋体" w:hAnsi="宋体" w:eastAsia="宋体" w:cs="宋体"/>
          <w:sz w:val="24"/>
        </w:rPr>
      </w:pPr>
    </w:p>
    <w:p w14:paraId="728A985A">
      <w:pPr>
        <w:spacing w:line="560" w:lineRule="exact"/>
        <w:ind w:firstLine="480" w:firstLineChars="200"/>
        <w:rPr>
          <w:rFonts w:ascii="宋体" w:hAnsi="宋体" w:eastAsia="宋体" w:cs="宋体"/>
          <w:sz w:val="24"/>
        </w:rPr>
      </w:pPr>
    </w:p>
    <w:p w14:paraId="08133EE0">
      <w:pPr>
        <w:spacing w:line="560" w:lineRule="exact"/>
        <w:ind w:firstLine="480" w:firstLineChars="200"/>
        <w:rPr>
          <w:rFonts w:ascii="宋体" w:hAnsi="宋体" w:eastAsia="宋体" w:cs="宋体"/>
          <w:sz w:val="24"/>
        </w:rPr>
      </w:pPr>
    </w:p>
    <w:p w14:paraId="64C37F6D">
      <w:pPr>
        <w:spacing w:line="560" w:lineRule="exact"/>
        <w:ind w:firstLine="480" w:firstLineChars="200"/>
        <w:rPr>
          <w:rFonts w:ascii="宋体" w:hAnsi="宋体" w:eastAsia="宋体" w:cs="宋体"/>
          <w:sz w:val="24"/>
        </w:rPr>
      </w:pPr>
    </w:p>
    <w:p w14:paraId="64167ACA">
      <w:pPr>
        <w:spacing w:line="560" w:lineRule="exact"/>
        <w:ind w:firstLine="480" w:firstLineChars="200"/>
        <w:rPr>
          <w:rFonts w:ascii="宋体" w:hAnsi="宋体" w:eastAsia="宋体" w:cs="宋体"/>
          <w:sz w:val="24"/>
        </w:rPr>
      </w:pPr>
    </w:p>
    <w:p w14:paraId="06831DEF">
      <w:pPr>
        <w:spacing w:line="560" w:lineRule="exact"/>
        <w:ind w:firstLine="480" w:firstLineChars="200"/>
        <w:rPr>
          <w:rFonts w:ascii="宋体" w:hAnsi="宋体" w:eastAsia="宋体" w:cs="宋体"/>
          <w:sz w:val="24"/>
        </w:rPr>
      </w:pPr>
    </w:p>
    <w:p w14:paraId="111D8AA0">
      <w:pPr>
        <w:spacing w:line="560" w:lineRule="exact"/>
        <w:ind w:firstLine="480" w:firstLineChars="200"/>
        <w:rPr>
          <w:rFonts w:ascii="宋体" w:hAnsi="宋体" w:eastAsia="宋体" w:cs="宋体"/>
          <w:sz w:val="24"/>
        </w:rPr>
      </w:pPr>
    </w:p>
    <w:p w14:paraId="41046F57">
      <w:pPr>
        <w:spacing w:line="560" w:lineRule="exact"/>
        <w:ind w:firstLine="480" w:firstLineChars="200"/>
        <w:rPr>
          <w:rFonts w:ascii="宋体" w:hAnsi="宋体" w:eastAsia="宋体" w:cs="宋体"/>
          <w:sz w:val="24"/>
        </w:rPr>
      </w:pPr>
    </w:p>
    <w:p w14:paraId="6BF236DD">
      <w:pPr>
        <w:spacing w:line="560" w:lineRule="exact"/>
        <w:ind w:firstLine="480" w:firstLineChars="200"/>
        <w:rPr>
          <w:rFonts w:ascii="宋体" w:hAnsi="宋体" w:eastAsia="宋体" w:cs="宋体"/>
          <w:sz w:val="24"/>
        </w:rPr>
      </w:pPr>
    </w:p>
    <w:p w14:paraId="493D007B">
      <w:pPr>
        <w:spacing w:line="560" w:lineRule="exact"/>
        <w:ind w:firstLine="480" w:firstLineChars="200"/>
        <w:rPr>
          <w:rFonts w:ascii="宋体" w:hAnsi="宋体" w:eastAsia="宋体" w:cs="宋体"/>
          <w:sz w:val="24"/>
        </w:rPr>
      </w:pPr>
    </w:p>
    <w:p w14:paraId="6CEBB5D0">
      <w:pPr>
        <w:spacing w:line="560" w:lineRule="exact"/>
        <w:ind w:firstLine="480" w:firstLineChars="200"/>
        <w:rPr>
          <w:rFonts w:ascii="宋体" w:hAnsi="宋体" w:eastAsia="宋体" w:cs="宋体"/>
          <w:sz w:val="24"/>
          <w:szCs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eastAsia="zh-CN"/>
        </w:rPr>
        <w:t>宜兴市公用市政工程有限公司</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公开招标方式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cs="宋体"/>
          <w:sz w:val="24"/>
          <w:u w:val="single"/>
          <w:lang w:eastAsia="zh-CN"/>
        </w:rPr>
        <w:t>太湖内源污染治理(太湖西岸宜兴近岸区域)一期工程临时用地组卷报批服务</w:t>
      </w:r>
      <w:r>
        <w:rPr>
          <w:rFonts w:hint="eastAsia" w:ascii="宋体" w:hAnsi="宋体" w:eastAsia="宋体" w:cs="宋体"/>
          <w:sz w:val="24"/>
          <w:u w:val="single"/>
          <w:lang w:eastAsia="zh-CN"/>
        </w:rPr>
        <w:t>项目采购</w:t>
      </w:r>
      <w:r>
        <w:rPr>
          <w:rFonts w:hint="eastAsia" w:ascii="宋体" w:hAnsi="宋体" w:eastAsia="宋体" w:cs="宋体"/>
          <w:sz w:val="24"/>
          <w:u w:val="single"/>
        </w:rPr>
        <w:t xml:space="preserve"> </w:t>
      </w:r>
      <w:r>
        <w:rPr>
          <w:rFonts w:hint="eastAsia" w:ascii="宋体" w:hAnsi="宋体" w:eastAsia="宋体" w:cs="宋体"/>
          <w:sz w:val="24"/>
        </w:rPr>
        <w:t>进行了采购。经评标委员会评审，</w:t>
      </w:r>
      <w:r>
        <w:rPr>
          <w:rFonts w:hint="eastAsia" w:ascii="宋体" w:hAnsi="宋体" w:cs="宋体"/>
          <w:sz w:val="24"/>
          <w:lang w:eastAsia="zh-CN"/>
        </w:rPr>
        <w:t>宜兴市公用市政工程有限公司</w:t>
      </w:r>
      <w:r>
        <w:rPr>
          <w:rFonts w:hint="eastAsia" w:ascii="宋体" w:hAnsi="宋体" w:eastAsia="宋体" w:cs="宋体"/>
          <w:sz w:val="24"/>
        </w:rPr>
        <w:t xml:space="preserve">确定 </w:t>
      </w:r>
      <w:r>
        <w:rPr>
          <w:rFonts w:hint="eastAsia" w:ascii="宋体" w:hAnsi="宋体" w:eastAsia="宋体" w:cs="宋体"/>
          <w:sz w:val="24"/>
          <w:u w:val="single"/>
        </w:rPr>
        <w:t>（中标</w:t>
      </w:r>
      <w:r>
        <w:rPr>
          <w:rFonts w:hint="eastAsia" w:ascii="宋体" w:hAnsi="宋体" w:cs="宋体"/>
          <w:sz w:val="24"/>
          <w:u w:val="single"/>
          <w:lang w:eastAsia="zh-CN"/>
        </w:rPr>
        <w:t>投标人</w:t>
      </w:r>
      <w:r>
        <w:rPr>
          <w:rFonts w:hint="eastAsia" w:ascii="宋体" w:hAnsi="宋体" w:eastAsia="宋体" w:cs="宋体"/>
          <w:sz w:val="24"/>
          <w:u w:val="single"/>
        </w:rPr>
        <w:t>名称）</w:t>
      </w:r>
      <w:r>
        <w:rPr>
          <w:rFonts w:hint="eastAsia" w:ascii="宋体" w:hAnsi="宋体" w:eastAsia="宋体" w:cs="宋体"/>
          <w:sz w:val="24"/>
        </w:rPr>
        <w:t>为该项目中标</w:t>
      </w:r>
      <w:r>
        <w:rPr>
          <w:rFonts w:hint="eastAsia" w:ascii="宋体" w:hAnsi="宋体" w:cs="宋体"/>
          <w:sz w:val="24"/>
          <w:lang w:eastAsia="zh-CN"/>
        </w:rPr>
        <w:t>投标人</w:t>
      </w:r>
      <w:r>
        <w:rPr>
          <w:rFonts w:hint="eastAsia" w:ascii="宋体" w:hAnsi="宋体" w:eastAsia="宋体" w:cs="宋体"/>
          <w:sz w:val="24"/>
        </w:rPr>
        <w:t>。现于中标通知书发出之日起三十日内，按照</w:t>
      </w:r>
      <w:r>
        <w:rPr>
          <w:rFonts w:hint="eastAsia" w:ascii="宋体" w:hAnsi="宋体" w:cs="宋体"/>
          <w:sz w:val="24"/>
          <w:lang w:eastAsia="zh-CN"/>
        </w:rPr>
        <w:t>招标文件</w:t>
      </w:r>
      <w:r>
        <w:rPr>
          <w:rFonts w:hint="eastAsia" w:ascii="宋体" w:hAnsi="宋体" w:eastAsia="宋体" w:cs="宋体"/>
          <w:sz w:val="24"/>
        </w:rPr>
        <w:t>确定的事项签订本合同。</w:t>
      </w:r>
    </w:p>
    <w:p w14:paraId="75394AEA">
      <w:pPr>
        <w:spacing w:line="560" w:lineRule="exact"/>
        <w:ind w:firstLine="480" w:firstLineChars="200"/>
        <w:rPr>
          <w:rFonts w:ascii="宋体" w:hAnsi="宋体" w:eastAsia="宋体" w:cs="宋体"/>
          <w:sz w:val="24"/>
          <w:szCs w:val="24"/>
        </w:rPr>
      </w:pPr>
      <w:r>
        <w:rPr>
          <w:rFonts w:hint="eastAsia" w:ascii="宋体" w:hAnsi="宋体" w:eastAsia="宋体" w:cs="宋体"/>
          <w:sz w:val="24"/>
          <w:lang w:val="zh-CN"/>
        </w:rPr>
        <w:t>根据《中华人民共和国民法典》等相关法律法规之规定，按照平等、自愿、公平和诚实信用的原则，经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cs="宋体"/>
          <w:sz w:val="24"/>
          <w:u w:val="single"/>
          <w:lang w:eastAsia="zh-CN"/>
        </w:rPr>
        <w:t>宜兴市公用市政工程有限公司</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w:t>
      </w:r>
      <w:r>
        <w:rPr>
          <w:rFonts w:hint="eastAsia" w:ascii="宋体" w:hAnsi="宋体" w:cs="宋体"/>
          <w:sz w:val="24"/>
          <w:u w:val="single"/>
          <w:lang w:eastAsia="zh-CN"/>
        </w:rPr>
        <w:t>投标人</w:t>
      </w:r>
      <w:r>
        <w:rPr>
          <w:rFonts w:hint="eastAsia" w:ascii="宋体" w:hAnsi="宋体" w:eastAsia="宋体" w:cs="宋体"/>
          <w:sz w:val="24"/>
          <w:u w:val="single"/>
        </w:rPr>
        <w:t>名称）</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CFDBD53">
      <w:pPr>
        <w:spacing w:line="560" w:lineRule="exact"/>
        <w:ind w:firstLine="482" w:firstLineChars="200"/>
        <w:rPr>
          <w:rFonts w:ascii="宋体" w:hAnsi="宋体" w:eastAsia="宋体" w:cs="宋体"/>
          <w:sz w:val="24"/>
          <w:szCs w:val="24"/>
        </w:rPr>
      </w:pPr>
      <w:bookmarkStart w:id="84" w:name="_Toc15367"/>
      <w:bookmarkStart w:id="85" w:name="_Toc20421"/>
      <w:bookmarkStart w:id="86" w:name="_Toc22967"/>
      <w:bookmarkStart w:id="87" w:name="_Toc28855"/>
      <w:bookmarkStart w:id="88" w:name="_Toc19273"/>
      <w:r>
        <w:rPr>
          <w:rFonts w:hint="eastAsia" w:ascii="宋体" w:hAnsi="宋体" w:eastAsia="宋体" w:cs="宋体"/>
          <w:b/>
          <w:sz w:val="24"/>
          <w:szCs w:val="24"/>
        </w:rPr>
        <w:t>1.1 合同组成部分</w:t>
      </w:r>
      <w:bookmarkEnd w:id="84"/>
      <w:bookmarkEnd w:id="85"/>
      <w:bookmarkEnd w:id="86"/>
      <w:bookmarkEnd w:id="87"/>
      <w:bookmarkEnd w:id="88"/>
    </w:p>
    <w:p w14:paraId="78E5B18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w:t>
      </w:r>
      <w:r>
        <w:rPr>
          <w:rFonts w:hint="eastAsia" w:ascii="宋体" w:hAnsi="宋体" w:cs="宋体"/>
          <w:sz w:val="24"/>
          <w:szCs w:val="24"/>
          <w:lang w:eastAsia="zh-CN"/>
        </w:rPr>
        <w:t>招标文件</w:t>
      </w:r>
      <w:r>
        <w:rPr>
          <w:rFonts w:hint="eastAsia" w:ascii="宋体" w:hAnsi="宋体" w:eastAsia="宋体" w:cs="宋体"/>
          <w:sz w:val="24"/>
          <w:szCs w:val="24"/>
        </w:rPr>
        <w:t>确定的事项的前提下，组成本合同的多个文件的优先适用顺序如下：</w:t>
      </w:r>
    </w:p>
    <w:p w14:paraId="71F8684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1.1.1 本合同及其补充合同、变更协议；</w:t>
      </w:r>
    </w:p>
    <w:p w14:paraId="3226252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1.1.2 中标通知书；</w:t>
      </w:r>
    </w:p>
    <w:p w14:paraId="2326F97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1.1.3 投标文件（含澄清或者说明文件）；</w:t>
      </w:r>
    </w:p>
    <w:p w14:paraId="78C70FA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1.1.4 招标文件（含澄清或者修改文件）；</w:t>
      </w:r>
    </w:p>
    <w:p w14:paraId="4E10DDD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1.1.5 其他相关</w:t>
      </w:r>
      <w:r>
        <w:rPr>
          <w:rFonts w:hint="eastAsia" w:ascii="宋体" w:hAnsi="宋体" w:cs="宋体"/>
          <w:sz w:val="24"/>
          <w:szCs w:val="24"/>
          <w:lang w:eastAsia="zh-CN"/>
        </w:rPr>
        <w:t>招标文件</w:t>
      </w:r>
      <w:r>
        <w:rPr>
          <w:rFonts w:hint="eastAsia" w:ascii="宋体" w:hAnsi="宋体" w:eastAsia="宋体" w:cs="宋体"/>
          <w:sz w:val="24"/>
          <w:szCs w:val="24"/>
        </w:rPr>
        <w:t>。</w:t>
      </w:r>
    </w:p>
    <w:p w14:paraId="4D908E51">
      <w:pPr>
        <w:spacing w:line="560" w:lineRule="exact"/>
        <w:ind w:firstLine="482" w:firstLineChars="200"/>
        <w:rPr>
          <w:rFonts w:ascii="宋体" w:hAnsi="宋体" w:eastAsia="宋体" w:cs="宋体"/>
          <w:b/>
          <w:sz w:val="24"/>
          <w:szCs w:val="24"/>
        </w:rPr>
      </w:pPr>
      <w:bookmarkStart w:id="89" w:name="_Toc2918"/>
      <w:bookmarkStart w:id="90" w:name="_Toc18585"/>
      <w:bookmarkStart w:id="91" w:name="_Toc6311"/>
      <w:bookmarkStart w:id="92" w:name="_Toc6773"/>
      <w:bookmarkStart w:id="93" w:name="_Toc22185"/>
      <w:r>
        <w:rPr>
          <w:rFonts w:hint="eastAsia" w:ascii="宋体" w:hAnsi="宋体" w:eastAsia="宋体" w:cs="宋体"/>
          <w:b/>
          <w:sz w:val="24"/>
          <w:szCs w:val="24"/>
        </w:rPr>
        <w:t>1.2 标的</w:t>
      </w:r>
      <w:bookmarkEnd w:id="89"/>
      <w:bookmarkEnd w:id="90"/>
      <w:bookmarkEnd w:id="91"/>
      <w:bookmarkEnd w:id="92"/>
      <w:bookmarkEnd w:id="93"/>
    </w:p>
    <w:p w14:paraId="002A29EA">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7DA4354">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8C8966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EAC25D">
      <w:pPr>
        <w:spacing w:line="560" w:lineRule="exact"/>
        <w:ind w:firstLine="482" w:firstLineChars="200"/>
        <w:rPr>
          <w:rFonts w:ascii="宋体" w:hAnsi="宋体" w:eastAsia="宋体" w:cs="宋体"/>
          <w:b/>
          <w:sz w:val="24"/>
          <w:szCs w:val="24"/>
        </w:rPr>
      </w:pPr>
      <w:bookmarkStart w:id="94" w:name="_Toc13918"/>
      <w:bookmarkStart w:id="95" w:name="_Toc4929"/>
      <w:bookmarkStart w:id="96" w:name="_Toc5635"/>
      <w:bookmarkStart w:id="97" w:name="_Toc1386"/>
      <w:bookmarkStart w:id="98" w:name="_Toc21124"/>
      <w:r>
        <w:rPr>
          <w:rFonts w:hint="eastAsia" w:ascii="宋体" w:hAnsi="宋体" w:eastAsia="宋体" w:cs="宋体"/>
          <w:b/>
          <w:sz w:val="24"/>
          <w:szCs w:val="24"/>
        </w:rPr>
        <w:t>1.3 价款</w:t>
      </w:r>
      <w:bookmarkEnd w:id="94"/>
      <w:bookmarkEnd w:id="95"/>
      <w:bookmarkEnd w:id="96"/>
      <w:bookmarkEnd w:id="97"/>
      <w:bookmarkEnd w:id="98"/>
    </w:p>
    <w:p w14:paraId="0EB2B50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合同总标的额为人民币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元)，以上为含税价。不含税价为￥</w:t>
      </w:r>
      <w:r>
        <w:rPr>
          <w:rFonts w:hint="eastAsia" w:ascii="宋体" w:hAnsi="宋体" w:eastAsia="宋体" w:cs="宋体"/>
          <w:sz w:val="24"/>
          <w:szCs w:val="24"/>
          <w:u w:val="single"/>
        </w:rPr>
        <w:t xml:space="preserve">    </w:t>
      </w:r>
      <w:r>
        <w:rPr>
          <w:rFonts w:hint="eastAsia" w:ascii="宋体" w:hAnsi="宋体" w:eastAsia="宋体" w:cs="宋体"/>
          <w:sz w:val="24"/>
          <w:szCs w:val="24"/>
        </w:rPr>
        <w:t>元，税金为￥</w:t>
      </w:r>
      <w:r>
        <w:rPr>
          <w:rFonts w:hint="eastAsia" w:ascii="宋体" w:hAnsi="宋体" w:eastAsia="宋体" w:cs="宋体"/>
          <w:sz w:val="24"/>
          <w:szCs w:val="24"/>
          <w:u w:val="single"/>
        </w:rPr>
        <w:t xml:space="preserve">     </w:t>
      </w:r>
      <w:r>
        <w:rPr>
          <w:rFonts w:hint="eastAsia" w:ascii="宋体" w:hAnsi="宋体" w:eastAsia="宋体" w:cs="宋体"/>
          <w:sz w:val="24"/>
          <w:szCs w:val="24"/>
        </w:rPr>
        <w:t>元，增值税税率为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7DCA2A4">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EC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B999F">
            <w:pPr>
              <w:pStyle w:val="28"/>
              <w:spacing w:line="560" w:lineRule="exact"/>
              <w:jc w:val="center"/>
              <w:rPr>
                <w:rFonts w:hAnsi="宋体" w:cs="宋体"/>
                <w:sz w:val="24"/>
                <w:szCs w:val="24"/>
              </w:rPr>
            </w:pPr>
            <w:r>
              <w:rPr>
                <w:rFonts w:hint="eastAsia" w:hAnsi="宋体" w:cs="宋体"/>
                <w:sz w:val="24"/>
                <w:szCs w:val="24"/>
              </w:rPr>
              <w:t>序号</w:t>
            </w:r>
          </w:p>
        </w:tc>
        <w:tc>
          <w:tcPr>
            <w:tcW w:w="3402" w:type="dxa"/>
            <w:noWrap w:val="0"/>
            <w:vAlign w:val="center"/>
          </w:tcPr>
          <w:p w14:paraId="4EE8C3DF">
            <w:pPr>
              <w:pStyle w:val="2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noWrap w:val="0"/>
            <w:vAlign w:val="center"/>
          </w:tcPr>
          <w:p w14:paraId="59F2E71B">
            <w:pPr>
              <w:pStyle w:val="28"/>
              <w:spacing w:line="560" w:lineRule="exact"/>
              <w:jc w:val="center"/>
              <w:rPr>
                <w:rFonts w:hAnsi="宋体" w:cs="宋体"/>
                <w:sz w:val="24"/>
                <w:szCs w:val="24"/>
              </w:rPr>
            </w:pPr>
            <w:r>
              <w:rPr>
                <w:rFonts w:hint="eastAsia" w:hAnsi="宋体" w:cs="宋体"/>
                <w:sz w:val="24"/>
                <w:szCs w:val="24"/>
              </w:rPr>
              <w:t>分项价格</w:t>
            </w:r>
          </w:p>
        </w:tc>
      </w:tr>
      <w:tr w14:paraId="6517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9740FEA">
            <w:pPr>
              <w:pStyle w:val="28"/>
              <w:spacing w:line="560" w:lineRule="exact"/>
              <w:ind w:firstLine="200"/>
              <w:jc w:val="center"/>
              <w:rPr>
                <w:rFonts w:hAnsi="宋体" w:cs="宋体"/>
                <w:sz w:val="24"/>
                <w:szCs w:val="24"/>
              </w:rPr>
            </w:pPr>
          </w:p>
        </w:tc>
        <w:tc>
          <w:tcPr>
            <w:tcW w:w="3402" w:type="dxa"/>
            <w:noWrap w:val="0"/>
            <w:vAlign w:val="center"/>
          </w:tcPr>
          <w:p w14:paraId="0E6CD6F9">
            <w:pPr>
              <w:pStyle w:val="28"/>
              <w:spacing w:line="560" w:lineRule="exact"/>
              <w:ind w:firstLine="200"/>
              <w:jc w:val="center"/>
              <w:rPr>
                <w:rFonts w:hAnsi="宋体" w:cs="宋体"/>
                <w:sz w:val="24"/>
                <w:szCs w:val="24"/>
              </w:rPr>
            </w:pPr>
          </w:p>
        </w:tc>
        <w:tc>
          <w:tcPr>
            <w:tcW w:w="2552" w:type="dxa"/>
            <w:noWrap w:val="0"/>
            <w:vAlign w:val="center"/>
          </w:tcPr>
          <w:p w14:paraId="00BE9B7E">
            <w:pPr>
              <w:pStyle w:val="28"/>
              <w:spacing w:line="560" w:lineRule="exact"/>
              <w:ind w:firstLine="200"/>
              <w:jc w:val="center"/>
              <w:rPr>
                <w:rFonts w:hAnsi="宋体" w:cs="宋体"/>
                <w:sz w:val="24"/>
                <w:szCs w:val="24"/>
              </w:rPr>
            </w:pPr>
          </w:p>
        </w:tc>
      </w:tr>
      <w:tr w14:paraId="3158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5E62AB3">
            <w:pPr>
              <w:pStyle w:val="28"/>
              <w:spacing w:line="560" w:lineRule="exact"/>
              <w:ind w:firstLine="200"/>
              <w:jc w:val="center"/>
              <w:rPr>
                <w:rFonts w:hAnsi="宋体" w:cs="宋体"/>
                <w:sz w:val="24"/>
                <w:szCs w:val="24"/>
              </w:rPr>
            </w:pPr>
          </w:p>
        </w:tc>
        <w:tc>
          <w:tcPr>
            <w:tcW w:w="3402" w:type="dxa"/>
            <w:noWrap w:val="0"/>
            <w:vAlign w:val="center"/>
          </w:tcPr>
          <w:p w14:paraId="568143AF">
            <w:pPr>
              <w:pStyle w:val="28"/>
              <w:spacing w:line="560" w:lineRule="exact"/>
              <w:ind w:firstLine="200"/>
              <w:jc w:val="center"/>
              <w:rPr>
                <w:rFonts w:hAnsi="宋体" w:cs="宋体"/>
                <w:sz w:val="24"/>
                <w:szCs w:val="24"/>
              </w:rPr>
            </w:pPr>
          </w:p>
        </w:tc>
        <w:tc>
          <w:tcPr>
            <w:tcW w:w="2552" w:type="dxa"/>
            <w:noWrap w:val="0"/>
            <w:vAlign w:val="center"/>
          </w:tcPr>
          <w:p w14:paraId="7E26AF91">
            <w:pPr>
              <w:pStyle w:val="28"/>
              <w:spacing w:line="560" w:lineRule="exact"/>
              <w:ind w:firstLine="200"/>
              <w:jc w:val="center"/>
              <w:rPr>
                <w:rFonts w:hAnsi="宋体" w:cs="宋体"/>
                <w:sz w:val="24"/>
                <w:szCs w:val="24"/>
              </w:rPr>
            </w:pPr>
          </w:p>
        </w:tc>
      </w:tr>
      <w:tr w14:paraId="6CBA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4E845E">
            <w:pPr>
              <w:pStyle w:val="28"/>
              <w:spacing w:line="560" w:lineRule="exact"/>
              <w:ind w:firstLine="200"/>
              <w:jc w:val="center"/>
              <w:rPr>
                <w:rFonts w:hAnsi="宋体" w:cs="宋体"/>
                <w:sz w:val="24"/>
                <w:szCs w:val="24"/>
              </w:rPr>
            </w:pPr>
          </w:p>
        </w:tc>
        <w:tc>
          <w:tcPr>
            <w:tcW w:w="3402" w:type="dxa"/>
            <w:noWrap w:val="0"/>
            <w:vAlign w:val="center"/>
          </w:tcPr>
          <w:p w14:paraId="3AB1001E">
            <w:pPr>
              <w:pStyle w:val="28"/>
              <w:spacing w:line="560" w:lineRule="exact"/>
              <w:ind w:firstLine="200"/>
              <w:jc w:val="center"/>
              <w:rPr>
                <w:rFonts w:hAnsi="宋体" w:cs="宋体"/>
                <w:sz w:val="24"/>
                <w:szCs w:val="24"/>
              </w:rPr>
            </w:pPr>
          </w:p>
        </w:tc>
        <w:tc>
          <w:tcPr>
            <w:tcW w:w="2552" w:type="dxa"/>
            <w:noWrap w:val="0"/>
            <w:vAlign w:val="center"/>
          </w:tcPr>
          <w:p w14:paraId="5ECDB776">
            <w:pPr>
              <w:pStyle w:val="28"/>
              <w:spacing w:line="560" w:lineRule="exact"/>
              <w:ind w:firstLine="200"/>
              <w:jc w:val="center"/>
              <w:rPr>
                <w:rFonts w:hAnsi="宋体" w:cs="宋体"/>
                <w:sz w:val="24"/>
                <w:szCs w:val="24"/>
              </w:rPr>
            </w:pPr>
          </w:p>
        </w:tc>
      </w:tr>
      <w:tr w14:paraId="1F6E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68B63C">
            <w:pPr>
              <w:pStyle w:val="28"/>
              <w:spacing w:line="560" w:lineRule="exact"/>
              <w:ind w:firstLine="200"/>
              <w:jc w:val="center"/>
              <w:rPr>
                <w:rFonts w:hAnsi="宋体" w:cs="宋体"/>
                <w:sz w:val="24"/>
                <w:szCs w:val="24"/>
              </w:rPr>
            </w:pPr>
          </w:p>
        </w:tc>
        <w:tc>
          <w:tcPr>
            <w:tcW w:w="3402" w:type="dxa"/>
            <w:noWrap w:val="0"/>
            <w:vAlign w:val="center"/>
          </w:tcPr>
          <w:p w14:paraId="1A1156B1">
            <w:pPr>
              <w:pStyle w:val="28"/>
              <w:spacing w:line="560" w:lineRule="exact"/>
              <w:ind w:firstLine="200"/>
              <w:jc w:val="center"/>
              <w:rPr>
                <w:rFonts w:hAnsi="宋体" w:cs="宋体"/>
                <w:sz w:val="24"/>
                <w:szCs w:val="24"/>
              </w:rPr>
            </w:pPr>
          </w:p>
        </w:tc>
        <w:tc>
          <w:tcPr>
            <w:tcW w:w="2552" w:type="dxa"/>
            <w:noWrap w:val="0"/>
            <w:vAlign w:val="center"/>
          </w:tcPr>
          <w:p w14:paraId="0A4E1EFF">
            <w:pPr>
              <w:pStyle w:val="28"/>
              <w:spacing w:line="560" w:lineRule="exact"/>
              <w:ind w:firstLine="200"/>
              <w:jc w:val="center"/>
              <w:rPr>
                <w:rFonts w:hAnsi="宋体" w:cs="宋体"/>
                <w:sz w:val="24"/>
                <w:szCs w:val="24"/>
              </w:rPr>
            </w:pPr>
          </w:p>
        </w:tc>
      </w:tr>
      <w:tr w14:paraId="503A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19758E9">
            <w:pPr>
              <w:pStyle w:val="28"/>
              <w:spacing w:line="560" w:lineRule="exact"/>
              <w:ind w:firstLine="200"/>
              <w:jc w:val="center"/>
              <w:rPr>
                <w:rFonts w:hAnsi="宋体" w:cs="宋体"/>
                <w:sz w:val="24"/>
                <w:szCs w:val="24"/>
              </w:rPr>
            </w:pPr>
            <w:r>
              <w:rPr>
                <w:rFonts w:hint="eastAsia" w:hAnsi="宋体" w:cs="宋体"/>
                <w:sz w:val="24"/>
                <w:szCs w:val="24"/>
              </w:rPr>
              <w:t>总价</w:t>
            </w:r>
          </w:p>
        </w:tc>
        <w:tc>
          <w:tcPr>
            <w:tcW w:w="2552" w:type="dxa"/>
            <w:noWrap w:val="0"/>
            <w:vAlign w:val="center"/>
          </w:tcPr>
          <w:p w14:paraId="7C9ACED7">
            <w:pPr>
              <w:pStyle w:val="28"/>
              <w:spacing w:line="560" w:lineRule="exact"/>
              <w:ind w:firstLine="200"/>
              <w:jc w:val="center"/>
              <w:rPr>
                <w:rFonts w:hAnsi="宋体" w:cs="宋体"/>
                <w:sz w:val="24"/>
                <w:szCs w:val="24"/>
              </w:rPr>
            </w:pPr>
          </w:p>
        </w:tc>
      </w:tr>
    </w:tbl>
    <w:p w14:paraId="1E006702">
      <w:pPr>
        <w:spacing w:line="560" w:lineRule="exact"/>
        <w:ind w:firstLine="482" w:firstLineChars="200"/>
        <w:rPr>
          <w:rFonts w:ascii="宋体" w:hAnsi="宋体" w:eastAsia="宋体" w:cs="宋体"/>
          <w:b/>
          <w:sz w:val="24"/>
          <w:szCs w:val="24"/>
        </w:rPr>
      </w:pPr>
      <w:bookmarkStart w:id="99" w:name="_Toc30158"/>
      <w:bookmarkStart w:id="100" w:name="_Toc3654"/>
      <w:bookmarkStart w:id="101" w:name="_Toc26916"/>
      <w:bookmarkStart w:id="102" w:name="_Toc14993"/>
      <w:bookmarkStart w:id="103" w:name="_Toc30506"/>
      <w:r>
        <w:rPr>
          <w:rFonts w:hint="eastAsia" w:ascii="宋体" w:hAnsi="宋体" w:eastAsia="宋体" w:cs="宋体"/>
          <w:b/>
          <w:sz w:val="24"/>
          <w:szCs w:val="24"/>
        </w:rPr>
        <w:t>1.4 付款方式和发票开具方式</w:t>
      </w:r>
      <w:bookmarkEnd w:id="99"/>
      <w:bookmarkEnd w:id="100"/>
      <w:bookmarkEnd w:id="101"/>
      <w:bookmarkEnd w:id="102"/>
      <w:bookmarkEnd w:id="103"/>
    </w:p>
    <w:p w14:paraId="16ADBAF1">
      <w:pPr>
        <w:spacing w:line="360" w:lineRule="auto"/>
        <w:ind w:firstLine="480" w:firstLineChars="200"/>
        <w:rPr>
          <w:rFonts w:ascii="宋体" w:hAnsi="宋体" w:eastAsia="宋体" w:cs="Times New Roman"/>
          <w:b/>
          <w:bCs/>
          <w:sz w:val="24"/>
          <w:szCs w:val="24"/>
          <w:u w:val="single"/>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Times New Roman"/>
          <w:sz w:val="24"/>
          <w:u w:val="single"/>
        </w:rPr>
        <w:t xml:space="preserve">                                         。</w:t>
      </w:r>
    </w:p>
    <w:p w14:paraId="43C30FC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DEA3BA">
      <w:pPr>
        <w:spacing w:line="560" w:lineRule="exact"/>
        <w:ind w:firstLine="482" w:firstLineChars="200"/>
        <w:rPr>
          <w:rFonts w:ascii="宋体" w:hAnsi="宋体" w:eastAsia="宋体" w:cs="宋体"/>
          <w:b/>
          <w:sz w:val="24"/>
          <w:szCs w:val="24"/>
        </w:rPr>
      </w:pPr>
      <w:bookmarkStart w:id="104" w:name="_Toc3625"/>
      <w:bookmarkStart w:id="105" w:name="_Toc31421"/>
      <w:bookmarkStart w:id="106" w:name="_Toc8772"/>
      <w:bookmarkStart w:id="107" w:name="_Toc4760"/>
      <w:bookmarkStart w:id="108" w:name="_Toc11108"/>
      <w:r>
        <w:rPr>
          <w:rFonts w:hint="eastAsia" w:ascii="宋体" w:hAnsi="宋体" w:eastAsia="宋体" w:cs="宋体"/>
          <w:b/>
          <w:sz w:val="24"/>
          <w:szCs w:val="24"/>
        </w:rPr>
        <w:t>1.5 履行期限、地点和方式</w:t>
      </w:r>
      <w:bookmarkEnd w:id="104"/>
      <w:bookmarkEnd w:id="105"/>
      <w:bookmarkEnd w:id="106"/>
      <w:bookmarkEnd w:id="107"/>
      <w:bookmarkEnd w:id="108"/>
    </w:p>
    <w:p w14:paraId="7BC9C256">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根据招标文件要求                         </w:t>
      </w:r>
      <w:r>
        <w:rPr>
          <w:rFonts w:hint="eastAsia" w:ascii="宋体" w:hAnsi="宋体" w:eastAsia="宋体" w:cs="宋体"/>
          <w:sz w:val="24"/>
          <w:szCs w:val="24"/>
        </w:rPr>
        <w:t>；</w:t>
      </w:r>
    </w:p>
    <w:p w14:paraId="4C48F1F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招标人</w:t>
      </w:r>
      <w:r>
        <w:rPr>
          <w:rFonts w:hint="eastAsia" w:ascii="宋体" w:hAnsi="宋体" w:eastAsia="宋体" w:cs="宋体"/>
          <w:sz w:val="24"/>
          <w:szCs w:val="24"/>
          <w:u w:val="single"/>
        </w:rPr>
        <w:t xml:space="preserve">指定地点                          </w:t>
      </w:r>
      <w:r>
        <w:rPr>
          <w:rFonts w:hint="eastAsia" w:ascii="宋体" w:hAnsi="宋体" w:eastAsia="宋体" w:cs="宋体"/>
          <w:sz w:val="24"/>
          <w:szCs w:val="24"/>
        </w:rPr>
        <w:t>；</w:t>
      </w:r>
    </w:p>
    <w:p w14:paraId="03E862F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根据招标文件要求　                       </w:t>
      </w:r>
      <w:r>
        <w:rPr>
          <w:rFonts w:hint="eastAsia" w:ascii="宋体" w:hAnsi="宋体" w:eastAsia="宋体" w:cs="宋体"/>
          <w:sz w:val="24"/>
          <w:szCs w:val="24"/>
        </w:rPr>
        <w:t>。</w:t>
      </w:r>
    </w:p>
    <w:p w14:paraId="414D389D">
      <w:pPr>
        <w:spacing w:line="560" w:lineRule="exact"/>
        <w:ind w:firstLine="482" w:firstLineChars="200"/>
        <w:rPr>
          <w:rFonts w:ascii="宋体" w:hAnsi="宋体" w:eastAsia="宋体" w:cs="宋体"/>
          <w:sz w:val="24"/>
          <w:szCs w:val="24"/>
          <w:highlight w:val="none"/>
          <w:u w:val="single"/>
        </w:rPr>
      </w:pPr>
      <w:bookmarkStart w:id="109" w:name="_Toc24662"/>
      <w:bookmarkStart w:id="110" w:name="_Toc8586"/>
      <w:bookmarkStart w:id="111" w:name="_Toc5698"/>
      <w:bookmarkStart w:id="112" w:name="_Toc2375"/>
      <w:bookmarkStart w:id="113" w:name="_Toc3079"/>
      <w:r>
        <w:rPr>
          <w:rFonts w:hint="eastAsia" w:ascii="宋体" w:hAnsi="宋体" w:eastAsia="宋体" w:cs="宋体"/>
          <w:b/>
          <w:sz w:val="24"/>
          <w:szCs w:val="24"/>
          <w:highlight w:val="none"/>
        </w:rPr>
        <w:t>1.6 违约责任</w:t>
      </w:r>
      <w:bookmarkEnd w:id="109"/>
      <w:bookmarkEnd w:id="110"/>
      <w:bookmarkEnd w:id="111"/>
      <w:bookmarkEnd w:id="112"/>
      <w:bookmarkEnd w:id="113"/>
    </w:p>
    <w:p w14:paraId="67FD240B">
      <w:pPr>
        <w:spacing w:line="560" w:lineRule="exact"/>
        <w:ind w:firstLine="480" w:firstLineChars="200"/>
        <w:rPr>
          <w:rFonts w:hint="eastAsia" w:ascii="宋体" w:hAnsi="宋体" w:eastAsia="宋体" w:cs="宋体"/>
          <w:sz w:val="24"/>
        </w:rPr>
      </w:pPr>
      <w:bookmarkStart w:id="114" w:name="_Toc32454"/>
      <w:bookmarkStart w:id="115" w:name="_Toc18683"/>
      <w:bookmarkStart w:id="116" w:name="_Toc9497"/>
      <w:bookmarkStart w:id="117" w:name="_Toc30329"/>
      <w:bookmarkStart w:id="118" w:name="_Toc26807"/>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w:t>
      </w:r>
      <w:r>
        <w:rPr>
          <w:rFonts w:hint="eastAsia" w:ascii="宋体" w:hAnsi="宋体" w:cs="宋体"/>
          <w:sz w:val="24"/>
          <w:u w:val="single"/>
          <w:lang w:val="en-US" w:eastAsia="zh-CN"/>
        </w:rPr>
        <w:t>1</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cs="宋体"/>
          <w:sz w:val="24"/>
          <w:u w:val="single"/>
          <w:lang w:val="en-US" w:eastAsia="zh-CN"/>
        </w:rPr>
        <w:t>15</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7E40EC26">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2</w:t>
      </w:r>
      <w:r>
        <w:rPr>
          <w:rFonts w:hint="eastAsia" w:ascii="宋体" w:hAnsi="宋体" w:eastAsia="宋体" w:cs="宋体"/>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BB06851">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3</w:t>
      </w:r>
      <w:r>
        <w:rPr>
          <w:rFonts w:hint="eastAsia" w:ascii="宋体" w:hAnsi="宋体" w:eastAsia="宋体" w:cs="宋体"/>
          <w:sz w:val="24"/>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9E9E4D">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sz w:val="24"/>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01F12C3C">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5</w:t>
      </w:r>
      <w:r>
        <w:rPr>
          <w:rFonts w:hint="eastAsia" w:ascii="宋体" w:hAnsi="宋体" w:eastAsia="宋体" w:cs="宋体"/>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D58C1E">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6</w:t>
      </w:r>
      <w:r>
        <w:rPr>
          <w:rFonts w:hint="eastAsia" w:ascii="宋体" w:hAnsi="宋体" w:eastAsia="宋体" w:cs="宋体"/>
          <w:sz w:val="24"/>
        </w:rPr>
        <w:t>如果出现采购监督管理部门在处理投诉事项期间，书面通知甲方暂停采购活动的情形，或者询问或质疑事项可能影响中标结果的，导致甲方中止履行合同的情形，均不视为甲方违约。</w:t>
      </w:r>
    </w:p>
    <w:p w14:paraId="51E474E0">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1.7 合同争议的解决</w:t>
      </w:r>
      <w:bookmarkEnd w:id="114"/>
      <w:bookmarkEnd w:id="115"/>
      <w:bookmarkEnd w:id="116"/>
      <w:bookmarkEnd w:id="117"/>
      <w:bookmarkEnd w:id="118"/>
    </w:p>
    <w:p w14:paraId="25B4F259">
      <w:pPr>
        <w:spacing w:line="560" w:lineRule="exact"/>
        <w:ind w:firstLine="480" w:firstLineChars="200"/>
        <w:rPr>
          <w:rFonts w:hint="eastAsia" w:ascii="宋体" w:hAnsi="宋体" w:eastAsia="宋体" w:cs="宋体"/>
          <w:sz w:val="24"/>
        </w:rPr>
      </w:pPr>
      <w:r>
        <w:rPr>
          <w:rFonts w:hint="eastAsia" w:ascii="宋体" w:hAnsi="宋体" w:eastAsia="宋体" w:cs="宋体"/>
          <w:sz w:val="24"/>
        </w:rPr>
        <w:t>1.7.1 本合同履行过程中发生的任何争议，双方当事人均可通过和解或者调解解决；不愿和解、调解或者和解、调解不成的，可以选择下列第②种方式解决：</w:t>
      </w:r>
    </w:p>
    <w:p w14:paraId="62F4B4C1">
      <w:pPr>
        <w:spacing w:line="560" w:lineRule="exact"/>
        <w:ind w:firstLine="480" w:firstLineChars="200"/>
        <w:rPr>
          <w:rFonts w:hint="eastAsia" w:ascii="宋体" w:hAnsi="宋体" w:eastAsia="宋体" w:cs="宋体"/>
          <w:sz w:val="24"/>
        </w:rPr>
      </w:pPr>
      <w:r>
        <w:rPr>
          <w:rFonts w:hint="eastAsia" w:ascii="宋体" w:hAnsi="宋体" w:eastAsia="宋体" w:cs="宋体"/>
          <w:sz w:val="24"/>
        </w:rPr>
        <w:t>①将争议提交甲方所在地（宜兴）仲裁委员会依申请仲裁时其现行有效的仲裁规则裁决；</w:t>
      </w:r>
    </w:p>
    <w:p w14:paraId="75D7C62A">
      <w:pPr>
        <w:spacing w:line="560" w:lineRule="exact"/>
        <w:ind w:firstLine="480" w:firstLineChars="200"/>
        <w:rPr>
          <w:rFonts w:hint="eastAsia" w:ascii="宋体" w:hAnsi="宋体" w:eastAsia="宋体" w:cs="宋体"/>
          <w:sz w:val="24"/>
        </w:rPr>
      </w:pPr>
      <w:r>
        <w:rPr>
          <w:rFonts w:hint="eastAsia" w:ascii="宋体" w:hAnsi="宋体" w:eastAsia="宋体" w:cs="宋体"/>
          <w:sz w:val="24"/>
        </w:rPr>
        <w:t>②向甲方所在地（宜兴）人民法院起诉。</w:t>
      </w:r>
    </w:p>
    <w:p w14:paraId="4D052FF6">
      <w:pPr>
        <w:spacing w:line="560" w:lineRule="exact"/>
        <w:ind w:firstLine="482" w:firstLineChars="200"/>
        <w:rPr>
          <w:rFonts w:ascii="宋体" w:hAnsi="宋体" w:eastAsia="宋体" w:cs="宋体"/>
          <w:b/>
          <w:sz w:val="24"/>
          <w:szCs w:val="24"/>
        </w:rPr>
      </w:pPr>
      <w:bookmarkStart w:id="119" w:name="_Toc26227"/>
      <w:bookmarkStart w:id="120" w:name="_Toc12273"/>
      <w:bookmarkStart w:id="121" w:name="_Toc16417"/>
      <w:bookmarkStart w:id="122" w:name="_Toc15827"/>
      <w:bookmarkStart w:id="123" w:name="_Toc23784"/>
      <w:r>
        <w:rPr>
          <w:rFonts w:hint="eastAsia" w:ascii="宋体" w:hAnsi="宋体" w:eastAsia="宋体" w:cs="宋体"/>
          <w:b/>
          <w:sz w:val="24"/>
          <w:szCs w:val="24"/>
        </w:rPr>
        <w:t>1.8 合同生效</w:t>
      </w:r>
      <w:bookmarkEnd w:id="119"/>
      <w:bookmarkEnd w:id="120"/>
      <w:bookmarkEnd w:id="121"/>
      <w:bookmarkEnd w:id="122"/>
      <w:bookmarkEnd w:id="123"/>
    </w:p>
    <w:p w14:paraId="10904A27">
      <w:pPr>
        <w:spacing w:line="560" w:lineRule="exact"/>
        <w:ind w:firstLine="480" w:firstLineChars="200"/>
        <w:rPr>
          <w:rFonts w:ascii="宋体" w:hAnsi="宋体" w:eastAsia="宋体" w:cs="宋体"/>
          <w:sz w:val="24"/>
        </w:rPr>
      </w:pPr>
      <w:r>
        <w:rPr>
          <w:rFonts w:hint="eastAsia" w:ascii="宋体" w:hAnsi="宋体" w:eastAsia="宋体" w:cs="宋体"/>
          <w:sz w:val="24"/>
        </w:rPr>
        <w:t>1.8.1 本合同</w:t>
      </w:r>
      <w:r>
        <w:rPr>
          <w:rFonts w:hint="eastAsia" w:ascii="宋体" w:hAnsi="宋体" w:eastAsia="宋体" w:cs="宋体"/>
          <w:sz w:val="24"/>
          <w:lang w:val="zh-CN"/>
        </w:rPr>
        <w:t>经甲乙双方代表签字并加盖公章（或合同章）后即生效。</w:t>
      </w:r>
    </w:p>
    <w:p w14:paraId="6F4F2020">
      <w:pPr>
        <w:autoSpaceDE w:val="0"/>
        <w:autoSpaceDN w:val="0"/>
        <w:adjustRightInd w:val="0"/>
        <w:spacing w:line="560" w:lineRule="exact"/>
        <w:ind w:firstLine="480"/>
        <w:rPr>
          <w:rFonts w:ascii="宋体" w:hAnsi="宋体" w:eastAsia="宋体" w:cs="宋体"/>
          <w:sz w:val="24"/>
        </w:rPr>
      </w:pPr>
      <w:r>
        <w:rPr>
          <w:rFonts w:hint="eastAsia" w:ascii="宋体" w:hAnsi="宋体" w:eastAsia="宋体" w:cs="宋体"/>
          <w:sz w:val="24"/>
        </w:rPr>
        <w:t>1.8.2 本合同一式肆份，供需双方各持贰份。</w:t>
      </w:r>
    </w:p>
    <w:p w14:paraId="4AFD59F5">
      <w:pPr>
        <w:autoSpaceDE w:val="0"/>
        <w:autoSpaceDN w:val="0"/>
        <w:adjustRightInd w:val="0"/>
        <w:spacing w:line="560" w:lineRule="exact"/>
        <w:ind w:firstLine="480"/>
        <w:rPr>
          <w:rFonts w:ascii="宋体" w:hAnsi="宋体" w:eastAsia="宋体" w:cs="宋体"/>
          <w:sz w:val="24"/>
        </w:rPr>
      </w:pPr>
    </w:p>
    <w:p w14:paraId="058D41C7">
      <w:pPr>
        <w:autoSpaceDE w:val="0"/>
        <w:autoSpaceDN w:val="0"/>
        <w:adjustRightInd w:val="0"/>
        <w:spacing w:line="560" w:lineRule="exact"/>
        <w:ind w:firstLine="480"/>
        <w:rPr>
          <w:rFonts w:ascii="宋体" w:hAnsi="宋体" w:eastAsia="宋体" w:cs="宋体"/>
          <w:sz w:val="24"/>
        </w:rPr>
      </w:pPr>
    </w:p>
    <w:p w14:paraId="0D3E4FAF">
      <w:pPr>
        <w:autoSpaceDE w:val="0"/>
        <w:autoSpaceDN w:val="0"/>
        <w:adjustRightInd w:val="0"/>
        <w:spacing w:line="560" w:lineRule="exact"/>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1E521E6D">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41C12755">
      <w:pPr>
        <w:autoSpaceDE w:val="0"/>
        <w:autoSpaceDN w:val="0"/>
        <w:adjustRightInd w:val="0"/>
        <w:spacing w:line="560" w:lineRule="exact"/>
        <w:ind w:firstLine="1260" w:firstLineChars="525"/>
        <w:rPr>
          <w:rFonts w:ascii="宋体" w:hAnsi="宋体" w:eastAsia="宋体" w:cs="宋体"/>
          <w:sz w:val="24"/>
          <w:szCs w:val="24"/>
          <w:lang w:val="zh-CN"/>
        </w:rPr>
      </w:pPr>
    </w:p>
    <w:p w14:paraId="2C5FC736">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住所：                                   住所：</w:t>
      </w:r>
    </w:p>
    <w:p w14:paraId="131CDCFC">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43AF111D">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747F1916">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联系人：                                 联系人：</w:t>
      </w:r>
    </w:p>
    <w:p w14:paraId="735D47F9">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63DC3FA2">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邮政编码：                               邮政编码：</w:t>
      </w:r>
    </w:p>
    <w:p w14:paraId="4650DBED">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5F9679D0">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传真:                                    传真:</w:t>
      </w:r>
    </w:p>
    <w:p w14:paraId="484D8684">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电子邮箱：                               电子邮箱：</w:t>
      </w:r>
    </w:p>
    <w:p w14:paraId="2CEA57A9">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开户银行：                               开户银行： </w:t>
      </w:r>
    </w:p>
    <w:p w14:paraId="0084834D">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开户名称：                               开户名称： </w:t>
      </w:r>
    </w:p>
    <w:p w14:paraId="0EDB9388">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35BD1797">
      <w:pPr>
        <w:widowControl/>
        <w:spacing w:line="560" w:lineRule="exact"/>
        <w:jc w:val="left"/>
        <w:rPr>
          <w:rFonts w:ascii="宋体" w:hAnsi="宋体" w:eastAsia="宋体" w:cs="宋体"/>
          <w:b/>
          <w:sz w:val="24"/>
          <w:szCs w:val="24"/>
        </w:rPr>
      </w:pPr>
      <w:bookmarkStart w:id="124" w:name="_Toc331685783"/>
    </w:p>
    <w:p w14:paraId="5D74A30E">
      <w:pPr>
        <w:widowControl/>
        <w:spacing w:line="560" w:lineRule="exact"/>
        <w:jc w:val="left"/>
        <w:rPr>
          <w:rFonts w:ascii="宋体" w:hAnsi="宋体" w:eastAsia="宋体" w:cs="宋体"/>
          <w:b/>
          <w:sz w:val="24"/>
          <w:szCs w:val="24"/>
        </w:rPr>
      </w:pPr>
    </w:p>
    <w:p w14:paraId="0F6E0B7A">
      <w:pPr>
        <w:widowControl/>
        <w:spacing w:line="560" w:lineRule="exact"/>
        <w:jc w:val="left"/>
        <w:rPr>
          <w:rFonts w:ascii="宋体" w:hAnsi="宋体" w:eastAsia="宋体" w:cs="宋体"/>
          <w:b/>
          <w:kern w:val="0"/>
          <w:sz w:val="24"/>
          <w:szCs w:val="24"/>
        </w:rPr>
      </w:pPr>
    </w:p>
    <w:p w14:paraId="30028411">
      <w:pPr>
        <w:widowControl/>
        <w:spacing w:line="560" w:lineRule="exact"/>
        <w:jc w:val="left"/>
        <w:rPr>
          <w:rFonts w:ascii="宋体" w:hAnsi="宋体" w:eastAsia="宋体" w:cs="宋体"/>
          <w:b/>
          <w:kern w:val="0"/>
          <w:sz w:val="24"/>
          <w:szCs w:val="24"/>
        </w:rPr>
      </w:pPr>
    </w:p>
    <w:p w14:paraId="6588FD33">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053573E7">
      <w:pPr>
        <w:widowControl w:val="0"/>
        <w:autoSpaceDE w:val="0"/>
        <w:autoSpaceDN w:val="0"/>
        <w:adjustRightInd w:val="0"/>
        <w:spacing w:line="560" w:lineRule="exact"/>
        <w:ind w:firstLine="200"/>
        <w:jc w:val="center"/>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第二部分 合同一般条款</w:t>
      </w:r>
      <w:bookmarkEnd w:id="124"/>
    </w:p>
    <w:p w14:paraId="37424ADF">
      <w:pPr>
        <w:spacing w:line="560" w:lineRule="exact"/>
        <w:ind w:firstLine="482" w:firstLineChars="200"/>
        <w:rPr>
          <w:rFonts w:ascii="宋体" w:hAnsi="宋体" w:eastAsia="宋体" w:cs="宋体"/>
          <w:b/>
          <w:sz w:val="24"/>
          <w:szCs w:val="24"/>
        </w:rPr>
      </w:pPr>
      <w:bookmarkStart w:id="125" w:name="_Toc487900349"/>
      <w:bookmarkStart w:id="126" w:name="_Toc259093669"/>
      <w:bookmarkStart w:id="127" w:name="_Toc14021"/>
      <w:bookmarkStart w:id="128" w:name="_Toc25079"/>
      <w:bookmarkStart w:id="129" w:name="_Ref467378499"/>
      <w:bookmarkStart w:id="130" w:name="_Ref467379109"/>
      <w:bookmarkStart w:id="131" w:name="_Ref467379195"/>
      <w:bookmarkStart w:id="132" w:name="_Ref467378404"/>
      <w:bookmarkStart w:id="133" w:name="_Ref467379094"/>
      <w:bookmarkStart w:id="134" w:name="_Toc5228"/>
      <w:bookmarkStart w:id="135" w:name="_Ref467379225"/>
      <w:bookmarkStart w:id="136" w:name="_Ref467378463"/>
      <w:bookmarkStart w:id="137" w:name="_Ref467379101"/>
      <w:bookmarkStart w:id="138" w:name="_Ref467379205"/>
      <w:bookmarkStart w:id="139" w:name="_Toc19680"/>
      <w:bookmarkStart w:id="140" w:name="_Toc31297"/>
      <w:bookmarkStart w:id="141" w:name="_Ref467379214"/>
      <w:bookmarkStart w:id="142" w:name="_Toc279701240"/>
      <w:r>
        <w:rPr>
          <w:rFonts w:hint="eastAsia" w:ascii="宋体" w:hAnsi="宋体" w:eastAsia="宋体" w:cs="宋体"/>
          <w:b/>
          <w:sz w:val="24"/>
          <w:szCs w:val="24"/>
        </w:rPr>
        <w:t>2.1 定义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68F028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17D89E7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2.1.1 “合同”系指</w:t>
      </w:r>
      <w:r>
        <w:rPr>
          <w:rFonts w:hint="eastAsia" w:ascii="宋体" w:hAnsi="宋体" w:cs="宋体"/>
          <w:sz w:val="24"/>
          <w:szCs w:val="24"/>
          <w:lang w:eastAsia="zh-CN"/>
        </w:rPr>
        <w:t>招标人</w:t>
      </w:r>
      <w:r>
        <w:rPr>
          <w:rFonts w:hint="eastAsia" w:ascii="宋体" w:hAnsi="宋体" w:eastAsia="宋体" w:cs="宋体"/>
          <w:sz w:val="24"/>
          <w:szCs w:val="24"/>
        </w:rPr>
        <w:t>和中标</w:t>
      </w:r>
      <w:r>
        <w:rPr>
          <w:rFonts w:hint="eastAsia" w:ascii="宋体" w:hAnsi="宋体" w:cs="宋体"/>
          <w:sz w:val="24"/>
          <w:szCs w:val="24"/>
          <w:lang w:eastAsia="zh-CN"/>
        </w:rPr>
        <w:t>投标人</w:t>
      </w:r>
      <w:r>
        <w:rPr>
          <w:rFonts w:hint="eastAsia" w:ascii="宋体" w:hAnsi="宋体" w:eastAsia="宋体" w:cs="宋体"/>
          <w:sz w:val="24"/>
          <w:szCs w:val="24"/>
        </w:rPr>
        <w:t>签订的载明双方当事人所达成的协议，并包括所有的附件、附录和构成合同的其他文件。</w:t>
      </w:r>
    </w:p>
    <w:p w14:paraId="79B2668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2.1.2 “合同价”系指根据合同约定，中标</w:t>
      </w:r>
      <w:r>
        <w:rPr>
          <w:rFonts w:hint="eastAsia" w:ascii="宋体" w:hAnsi="宋体" w:cs="宋体"/>
          <w:sz w:val="24"/>
          <w:szCs w:val="24"/>
          <w:lang w:eastAsia="zh-CN"/>
        </w:rPr>
        <w:t>投标人</w:t>
      </w:r>
      <w:r>
        <w:rPr>
          <w:rFonts w:hint="eastAsia" w:ascii="宋体" w:hAnsi="宋体" w:eastAsia="宋体" w:cs="宋体"/>
          <w:sz w:val="24"/>
          <w:szCs w:val="24"/>
        </w:rPr>
        <w:t>在完全履行合同义务后，</w:t>
      </w:r>
      <w:r>
        <w:rPr>
          <w:rFonts w:hint="eastAsia" w:ascii="宋体" w:hAnsi="宋体" w:cs="宋体"/>
          <w:sz w:val="24"/>
          <w:szCs w:val="24"/>
          <w:lang w:eastAsia="zh-CN"/>
        </w:rPr>
        <w:t>招标人</w:t>
      </w:r>
      <w:r>
        <w:rPr>
          <w:rFonts w:hint="eastAsia" w:ascii="宋体" w:hAnsi="宋体" w:eastAsia="宋体" w:cs="宋体"/>
          <w:sz w:val="24"/>
          <w:szCs w:val="24"/>
        </w:rPr>
        <w:t>应支付给中标</w:t>
      </w:r>
      <w:r>
        <w:rPr>
          <w:rFonts w:hint="eastAsia" w:ascii="宋体" w:hAnsi="宋体" w:cs="宋体"/>
          <w:sz w:val="24"/>
          <w:szCs w:val="24"/>
          <w:lang w:eastAsia="zh-CN"/>
        </w:rPr>
        <w:t>投标人</w:t>
      </w:r>
      <w:r>
        <w:rPr>
          <w:rFonts w:hint="eastAsia" w:ascii="宋体" w:hAnsi="宋体" w:eastAsia="宋体" w:cs="宋体"/>
          <w:sz w:val="24"/>
          <w:szCs w:val="24"/>
        </w:rPr>
        <w:t>的价格。</w:t>
      </w:r>
    </w:p>
    <w:p w14:paraId="56C11D8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 “服务”系指中标</w:t>
      </w:r>
      <w:r>
        <w:rPr>
          <w:rFonts w:hint="eastAsia" w:ascii="宋体" w:hAnsi="宋体" w:cs="宋体"/>
          <w:sz w:val="24"/>
          <w:szCs w:val="24"/>
          <w:lang w:eastAsia="zh-CN"/>
        </w:rPr>
        <w:t>投标人</w:t>
      </w:r>
      <w:r>
        <w:rPr>
          <w:rFonts w:hint="eastAsia" w:ascii="宋体" w:hAnsi="宋体" w:eastAsia="宋体" w:cs="宋体"/>
          <w:sz w:val="24"/>
          <w:szCs w:val="24"/>
        </w:rPr>
        <w:t>根据合同约定应向</w:t>
      </w:r>
      <w:r>
        <w:rPr>
          <w:rFonts w:hint="eastAsia" w:ascii="宋体" w:hAnsi="宋体" w:cs="宋体"/>
          <w:sz w:val="24"/>
          <w:szCs w:val="24"/>
          <w:lang w:eastAsia="zh-CN"/>
        </w:rPr>
        <w:t>招标人</w:t>
      </w:r>
      <w:r>
        <w:rPr>
          <w:rFonts w:hint="eastAsia" w:ascii="宋体" w:hAnsi="宋体" w:eastAsia="宋体" w:cs="宋体"/>
          <w:sz w:val="24"/>
          <w:szCs w:val="24"/>
        </w:rPr>
        <w:t>履行的除货物和工程以外的其他采购对象，包括</w:t>
      </w:r>
      <w:r>
        <w:rPr>
          <w:rFonts w:hint="eastAsia" w:ascii="宋体" w:hAnsi="宋体" w:cs="宋体"/>
          <w:sz w:val="24"/>
          <w:szCs w:val="24"/>
          <w:lang w:eastAsia="zh-CN"/>
        </w:rPr>
        <w:t>招标人</w:t>
      </w:r>
      <w:r>
        <w:rPr>
          <w:rFonts w:hint="eastAsia" w:ascii="宋体" w:hAnsi="宋体" w:eastAsia="宋体" w:cs="宋体"/>
          <w:sz w:val="24"/>
          <w:szCs w:val="24"/>
        </w:rPr>
        <w:t>自身需要的服务和向社会公众提供的公共服务。</w:t>
      </w:r>
    </w:p>
    <w:p w14:paraId="6148C2B2">
      <w:pPr>
        <w:spacing w:line="560" w:lineRule="exact"/>
        <w:ind w:firstLine="480" w:firstLineChars="200"/>
        <w:rPr>
          <w:rFonts w:ascii="宋体" w:hAnsi="宋体" w:eastAsia="宋体" w:cs="宋体"/>
          <w:sz w:val="24"/>
          <w:szCs w:val="24"/>
        </w:rPr>
      </w:pPr>
      <w:bookmarkStart w:id="143" w:name="_Ref467378840"/>
      <w:r>
        <w:rPr>
          <w:rFonts w:hint="eastAsia" w:ascii="宋体" w:hAnsi="宋体" w:eastAsia="宋体" w:cs="宋体"/>
          <w:sz w:val="24"/>
          <w:szCs w:val="24"/>
        </w:rPr>
        <w:t>2.1.4 “甲方”系指与中标</w:t>
      </w:r>
      <w:r>
        <w:rPr>
          <w:rFonts w:hint="eastAsia" w:ascii="宋体" w:hAnsi="宋体" w:cs="宋体"/>
          <w:sz w:val="24"/>
          <w:szCs w:val="24"/>
          <w:lang w:eastAsia="zh-CN"/>
        </w:rPr>
        <w:t>投标人</w:t>
      </w:r>
      <w:r>
        <w:rPr>
          <w:rFonts w:hint="eastAsia" w:ascii="宋体" w:hAnsi="宋体" w:eastAsia="宋体" w:cs="宋体"/>
          <w:sz w:val="24"/>
          <w:szCs w:val="24"/>
        </w:rPr>
        <w:t>签署合同的</w:t>
      </w:r>
      <w:bookmarkEnd w:id="143"/>
      <w:r>
        <w:rPr>
          <w:rFonts w:hint="eastAsia" w:ascii="宋体" w:hAnsi="宋体" w:cs="宋体"/>
          <w:sz w:val="24"/>
          <w:szCs w:val="24"/>
          <w:lang w:eastAsia="zh-CN"/>
        </w:rPr>
        <w:t>招标人</w:t>
      </w:r>
      <w:r>
        <w:rPr>
          <w:rFonts w:hint="eastAsia" w:ascii="宋体" w:hAnsi="宋体" w:eastAsia="宋体" w:cs="宋体"/>
          <w:sz w:val="24"/>
          <w:szCs w:val="24"/>
        </w:rPr>
        <w:t>；</w:t>
      </w:r>
      <w:r>
        <w:rPr>
          <w:rFonts w:hint="eastAsia" w:ascii="宋体" w:hAnsi="宋体" w:cs="宋体"/>
          <w:sz w:val="24"/>
          <w:szCs w:val="24"/>
          <w:lang w:eastAsia="zh-CN"/>
        </w:rPr>
        <w:t>招标人</w:t>
      </w:r>
      <w:r>
        <w:rPr>
          <w:rFonts w:hint="eastAsia" w:ascii="宋体" w:hAnsi="宋体" w:eastAsia="宋体" w:cs="宋体"/>
          <w:sz w:val="24"/>
          <w:szCs w:val="24"/>
        </w:rPr>
        <w:t>委托采购代理机构代表其与乙方签订合同的，</w:t>
      </w:r>
      <w:r>
        <w:rPr>
          <w:rFonts w:hint="eastAsia" w:ascii="宋体" w:hAnsi="宋体" w:cs="宋体"/>
          <w:sz w:val="24"/>
          <w:szCs w:val="24"/>
          <w:lang w:eastAsia="zh-CN"/>
        </w:rPr>
        <w:t>招标人</w:t>
      </w:r>
      <w:r>
        <w:rPr>
          <w:rFonts w:hint="eastAsia" w:ascii="宋体" w:hAnsi="宋体" w:eastAsia="宋体" w:cs="宋体"/>
          <w:sz w:val="24"/>
          <w:szCs w:val="24"/>
        </w:rPr>
        <w:t>的授权委托书作为合同附件。</w:t>
      </w:r>
    </w:p>
    <w:p w14:paraId="1D691D6C">
      <w:pPr>
        <w:spacing w:line="560" w:lineRule="exact"/>
        <w:ind w:firstLine="480" w:firstLineChars="200"/>
        <w:rPr>
          <w:rFonts w:ascii="宋体" w:hAnsi="宋体" w:eastAsia="宋体" w:cs="宋体"/>
          <w:sz w:val="24"/>
          <w:szCs w:val="24"/>
        </w:rPr>
      </w:pPr>
      <w:bookmarkStart w:id="144" w:name="_Ref467379400"/>
      <w:r>
        <w:rPr>
          <w:rFonts w:hint="eastAsia" w:ascii="宋体" w:hAnsi="宋体" w:eastAsia="宋体" w:cs="宋体"/>
          <w:sz w:val="24"/>
          <w:szCs w:val="24"/>
        </w:rPr>
        <w:t>2.1.5 “乙方”系指根据合同约定提供服务的中标</w:t>
      </w:r>
      <w:bookmarkEnd w:id="144"/>
      <w:r>
        <w:rPr>
          <w:rFonts w:hint="eastAsia" w:ascii="宋体" w:hAnsi="宋体" w:cs="宋体"/>
          <w:sz w:val="24"/>
          <w:szCs w:val="24"/>
          <w:lang w:eastAsia="zh-CN"/>
        </w:rPr>
        <w:t>投标人</w:t>
      </w:r>
      <w:r>
        <w:rPr>
          <w:rFonts w:hint="eastAsia" w:ascii="宋体" w:hAnsi="宋体" w:eastAsia="宋体" w:cs="宋体"/>
          <w:sz w:val="24"/>
          <w:szCs w:val="24"/>
        </w:rPr>
        <w:t>；两个以上的自然人、法人或者其他组织组成一个联合体，以一个</w:t>
      </w:r>
      <w:r>
        <w:rPr>
          <w:rFonts w:hint="eastAsia" w:ascii="宋体" w:hAnsi="宋体" w:cs="宋体"/>
          <w:sz w:val="24"/>
          <w:szCs w:val="24"/>
          <w:lang w:eastAsia="zh-CN"/>
        </w:rPr>
        <w:t>投标人</w:t>
      </w:r>
      <w:r>
        <w:rPr>
          <w:rFonts w:hint="eastAsia" w:ascii="宋体" w:hAnsi="宋体" w:eastAsia="宋体" w:cs="宋体"/>
          <w:sz w:val="24"/>
          <w:szCs w:val="24"/>
        </w:rPr>
        <w:t>的身份共同参加采购的，联合体各方均应为乙方或者与乙方相同地位的合同当事人，并就合同约定的事项对甲方承担连带责任。</w:t>
      </w:r>
    </w:p>
    <w:p w14:paraId="0D801717">
      <w:pPr>
        <w:spacing w:line="560" w:lineRule="exact"/>
        <w:ind w:firstLine="480" w:firstLineChars="200"/>
        <w:rPr>
          <w:rFonts w:ascii="宋体" w:hAnsi="宋体" w:eastAsia="宋体" w:cs="宋体"/>
          <w:sz w:val="24"/>
          <w:szCs w:val="24"/>
        </w:rPr>
      </w:pPr>
      <w:bookmarkStart w:id="145" w:name="_Ref467379436"/>
      <w:r>
        <w:rPr>
          <w:rFonts w:hint="eastAsia" w:ascii="宋体" w:hAnsi="宋体" w:eastAsia="宋体" w:cs="宋体"/>
          <w:sz w:val="24"/>
          <w:szCs w:val="24"/>
        </w:rPr>
        <w:t>2.1.6 “现场”系指合同约定提供服务的地点。</w:t>
      </w:r>
      <w:bookmarkEnd w:id="145"/>
    </w:p>
    <w:p w14:paraId="51B26350">
      <w:pPr>
        <w:spacing w:line="560" w:lineRule="exact"/>
        <w:ind w:firstLine="482" w:firstLineChars="200"/>
        <w:rPr>
          <w:rFonts w:ascii="宋体" w:hAnsi="宋体" w:eastAsia="宋体" w:cs="宋体"/>
          <w:b/>
          <w:sz w:val="24"/>
          <w:szCs w:val="24"/>
        </w:rPr>
      </w:pPr>
      <w:bookmarkStart w:id="146" w:name="_Toc259093670"/>
      <w:bookmarkStart w:id="147" w:name="_Toc23289"/>
      <w:bookmarkStart w:id="148" w:name="_Toc487900350"/>
      <w:bookmarkStart w:id="149" w:name="_Toc19539"/>
      <w:bookmarkStart w:id="150" w:name="_Toc31402"/>
      <w:bookmarkStart w:id="151" w:name="_Toc279701241"/>
      <w:bookmarkStart w:id="152" w:name="_Toc3769"/>
      <w:bookmarkStart w:id="153" w:name="_Toc16752"/>
      <w:r>
        <w:rPr>
          <w:rFonts w:hint="eastAsia" w:ascii="宋体" w:hAnsi="宋体" w:eastAsia="宋体" w:cs="宋体"/>
          <w:b/>
          <w:sz w:val="24"/>
          <w:szCs w:val="24"/>
        </w:rPr>
        <w:t>2.2 技术规范</w:t>
      </w:r>
      <w:bookmarkEnd w:id="146"/>
      <w:bookmarkEnd w:id="147"/>
      <w:bookmarkEnd w:id="148"/>
      <w:bookmarkEnd w:id="149"/>
      <w:bookmarkEnd w:id="150"/>
      <w:bookmarkEnd w:id="151"/>
      <w:bookmarkEnd w:id="152"/>
      <w:bookmarkEnd w:id="153"/>
    </w:p>
    <w:p w14:paraId="1036CB0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服务所应遵守的技术规范应与</w:t>
      </w:r>
      <w:r>
        <w:rPr>
          <w:rFonts w:hint="eastAsia" w:ascii="宋体" w:hAnsi="宋体" w:cs="宋体"/>
          <w:sz w:val="24"/>
          <w:szCs w:val="24"/>
          <w:lang w:eastAsia="zh-CN"/>
        </w:rPr>
        <w:t>招标文件</w:t>
      </w:r>
      <w:r>
        <w:rPr>
          <w:rFonts w:hint="eastAsia" w:ascii="宋体" w:hAnsi="宋体" w:eastAsia="宋体" w:cs="宋体"/>
          <w:sz w:val="24"/>
          <w:szCs w:val="24"/>
        </w:rPr>
        <w:t>规定的技术规范和技术规范附件(如果有的话)及其技术规范偏差表(如果被甲方接受的话)相一致；如果</w:t>
      </w:r>
      <w:r>
        <w:rPr>
          <w:rFonts w:hint="eastAsia" w:ascii="宋体" w:hAnsi="宋体" w:cs="宋体"/>
          <w:sz w:val="24"/>
          <w:szCs w:val="24"/>
          <w:lang w:eastAsia="zh-CN"/>
        </w:rPr>
        <w:t>招标文件</w:t>
      </w:r>
      <w:r>
        <w:rPr>
          <w:rFonts w:hint="eastAsia" w:ascii="宋体" w:hAnsi="宋体" w:eastAsia="宋体" w:cs="宋体"/>
          <w:sz w:val="24"/>
          <w:szCs w:val="24"/>
        </w:rPr>
        <w:t>中没有技术规范的相应说明，那么应以国家有关部门最新颁布的相应标准和规范为准。</w:t>
      </w:r>
    </w:p>
    <w:p w14:paraId="5E2E85AE">
      <w:pPr>
        <w:spacing w:line="560" w:lineRule="exact"/>
        <w:ind w:firstLine="482" w:firstLineChars="200"/>
        <w:rPr>
          <w:rFonts w:ascii="宋体" w:hAnsi="宋体" w:eastAsia="宋体" w:cs="宋体"/>
          <w:b/>
          <w:sz w:val="24"/>
          <w:szCs w:val="24"/>
        </w:rPr>
      </w:pPr>
      <w:bookmarkStart w:id="154" w:name="_Toc27945"/>
      <w:bookmarkStart w:id="155" w:name="_Toc9161"/>
      <w:bookmarkStart w:id="156" w:name="_Toc4133"/>
      <w:bookmarkStart w:id="157" w:name="_Toc487900351"/>
      <w:bookmarkStart w:id="158" w:name="_Toc279701242"/>
      <w:bookmarkStart w:id="159" w:name="_Toc259093671"/>
      <w:bookmarkStart w:id="160" w:name="_Toc12412"/>
      <w:bookmarkStart w:id="161" w:name="_Toc13673"/>
      <w:r>
        <w:rPr>
          <w:rFonts w:hint="eastAsia" w:ascii="宋体" w:hAnsi="宋体" w:eastAsia="宋体" w:cs="宋体"/>
          <w:b/>
          <w:sz w:val="24"/>
          <w:szCs w:val="24"/>
        </w:rPr>
        <w:t>2.3 知识产权</w:t>
      </w:r>
      <w:bookmarkEnd w:id="154"/>
      <w:bookmarkEnd w:id="155"/>
      <w:bookmarkEnd w:id="156"/>
      <w:bookmarkEnd w:id="157"/>
      <w:bookmarkEnd w:id="158"/>
      <w:bookmarkEnd w:id="159"/>
      <w:bookmarkEnd w:id="160"/>
      <w:bookmarkEnd w:id="161"/>
    </w:p>
    <w:p w14:paraId="4684F69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15D648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2.3.2 技术成果归属甲方。</w:t>
      </w:r>
    </w:p>
    <w:p w14:paraId="739D7BB1">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2.4 履约检查和问题反馈</w:t>
      </w:r>
    </w:p>
    <w:p w14:paraId="20620F7D">
      <w:pPr>
        <w:spacing w:line="560" w:lineRule="exact"/>
        <w:ind w:firstLine="480" w:firstLineChars="200"/>
        <w:rPr>
          <w:rFonts w:ascii="宋体" w:hAnsi="宋体" w:eastAsia="宋体" w:cs="宋体"/>
          <w:sz w:val="24"/>
          <w:szCs w:val="24"/>
        </w:rPr>
      </w:pPr>
      <w:bookmarkStart w:id="162" w:name="_Ref467379657"/>
      <w:r>
        <w:rPr>
          <w:rFonts w:hint="eastAsia" w:ascii="宋体" w:hAnsi="宋体" w:eastAsia="宋体" w:cs="宋体"/>
          <w:sz w:val="24"/>
          <w:szCs w:val="24"/>
        </w:rPr>
        <w:t>2.4.1</w:t>
      </w:r>
      <w:bookmarkEnd w:id="162"/>
      <w:bookmarkStart w:id="163" w:name="_Toc186431854"/>
      <w:bookmarkStart w:id="164" w:name="_Ref467379807"/>
      <w:bookmarkStart w:id="165" w:name="_Toc259093676"/>
      <w:bookmarkStart w:id="166" w:name="_Toc279701247"/>
      <w:bookmarkStart w:id="167" w:name="_Toc487900357"/>
      <w:bookmarkStart w:id="168" w:name="_Ref467379793"/>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C2D15F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163"/>
      <w:bookmarkStart w:id="169" w:name="_Toc186431855"/>
      <w:r>
        <w:rPr>
          <w:rFonts w:hint="eastAsia" w:ascii="宋体" w:hAnsi="宋体" w:eastAsia="宋体" w:cs="宋体"/>
          <w:sz w:val="24"/>
          <w:szCs w:val="24"/>
        </w:rPr>
        <w:t>。</w:t>
      </w:r>
    </w:p>
    <w:bookmarkEnd w:id="164"/>
    <w:bookmarkEnd w:id="165"/>
    <w:bookmarkEnd w:id="166"/>
    <w:bookmarkEnd w:id="167"/>
    <w:bookmarkEnd w:id="168"/>
    <w:bookmarkEnd w:id="169"/>
    <w:p w14:paraId="0D523621">
      <w:pPr>
        <w:spacing w:line="560" w:lineRule="exact"/>
        <w:ind w:firstLine="482" w:firstLineChars="200"/>
        <w:rPr>
          <w:rFonts w:ascii="宋体" w:hAnsi="宋体" w:eastAsia="宋体" w:cs="宋体"/>
          <w:b/>
          <w:sz w:val="24"/>
          <w:szCs w:val="24"/>
        </w:rPr>
      </w:pPr>
      <w:bookmarkStart w:id="170" w:name="_Ref467379923"/>
      <w:bookmarkStart w:id="171" w:name="_Toc279701248"/>
      <w:bookmarkStart w:id="172" w:name="_Ref467379852"/>
      <w:bookmarkStart w:id="173" w:name="_Toc259093677"/>
      <w:bookmarkStart w:id="174" w:name="_Ref467379863"/>
      <w:bookmarkStart w:id="175" w:name="_Toc487900358"/>
      <w:bookmarkStart w:id="176" w:name="_Toc30507"/>
      <w:bookmarkStart w:id="177" w:name="_Toc16163"/>
      <w:bookmarkStart w:id="178" w:name="_Toc13467"/>
      <w:bookmarkStart w:id="179" w:name="_Toc13154"/>
      <w:bookmarkStart w:id="180" w:name="_Toc18990"/>
      <w:r>
        <w:rPr>
          <w:rFonts w:hint="eastAsia" w:ascii="宋体" w:hAnsi="宋体" w:eastAsia="宋体" w:cs="宋体"/>
          <w:b/>
          <w:sz w:val="24"/>
          <w:szCs w:val="24"/>
        </w:rPr>
        <w:t>2.5 技术资料</w:t>
      </w:r>
      <w:bookmarkEnd w:id="170"/>
      <w:bookmarkEnd w:id="171"/>
      <w:bookmarkEnd w:id="172"/>
      <w:bookmarkEnd w:id="173"/>
      <w:bookmarkEnd w:id="174"/>
      <w:bookmarkEnd w:id="175"/>
      <w:r>
        <w:rPr>
          <w:rFonts w:hint="eastAsia" w:ascii="宋体" w:hAnsi="宋体" w:eastAsia="宋体" w:cs="宋体"/>
          <w:b/>
          <w:sz w:val="24"/>
          <w:szCs w:val="24"/>
        </w:rPr>
        <w:t>和保密义务</w:t>
      </w:r>
      <w:bookmarkEnd w:id="176"/>
      <w:bookmarkEnd w:id="177"/>
      <w:bookmarkEnd w:id="178"/>
      <w:bookmarkEnd w:id="179"/>
      <w:bookmarkEnd w:id="180"/>
    </w:p>
    <w:p w14:paraId="60B20C6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2.5.1 乙方有权依据合同约定和项目需要，向甲方了解有关情况，调阅有关资料等，甲方应予积极配合；</w:t>
      </w:r>
    </w:p>
    <w:p w14:paraId="7395140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2.5.2 乙方有义务妥善保管和保护由甲方提供的前款信息和资料等；</w:t>
      </w:r>
    </w:p>
    <w:p w14:paraId="28CB785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983D08">
      <w:pPr>
        <w:spacing w:line="560" w:lineRule="exact"/>
        <w:ind w:firstLine="482" w:firstLineChars="200"/>
        <w:rPr>
          <w:rFonts w:ascii="宋体" w:hAnsi="宋体" w:eastAsia="宋体" w:cs="宋体"/>
          <w:b/>
          <w:sz w:val="24"/>
          <w:szCs w:val="24"/>
        </w:rPr>
      </w:pPr>
      <w:bookmarkStart w:id="181" w:name="_Toc19069"/>
      <w:bookmarkStart w:id="182" w:name="_Toc487900362"/>
      <w:bookmarkStart w:id="183" w:name="_Toc259093681"/>
      <w:bookmarkStart w:id="184" w:name="_Toc279701252"/>
      <w:r>
        <w:rPr>
          <w:rFonts w:hint="eastAsia" w:ascii="宋体" w:hAnsi="宋体" w:eastAsia="宋体" w:cs="宋体"/>
          <w:b/>
          <w:sz w:val="24"/>
          <w:szCs w:val="24"/>
        </w:rPr>
        <w:t>2.6 质量保证</w:t>
      </w:r>
      <w:bookmarkEnd w:id="181"/>
    </w:p>
    <w:p w14:paraId="78D166F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2.6.1 乙方应建立和完善履行合同的内部质量保证体系，并提供相关内部规章制度给甲方，以便甲方进行监督检查；</w:t>
      </w:r>
    </w:p>
    <w:p w14:paraId="7F375A4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2.6.2 乙方应保证履行合同的人员数量和素质、软件和硬件设备的配置、场地、环境和设施等满足全面履行合同的要求，并应接受甲方的监督检查。</w:t>
      </w:r>
    </w:p>
    <w:p w14:paraId="7E448992">
      <w:pPr>
        <w:spacing w:line="560" w:lineRule="exact"/>
        <w:ind w:firstLine="482" w:firstLineChars="200"/>
        <w:rPr>
          <w:rFonts w:ascii="宋体" w:hAnsi="宋体" w:eastAsia="宋体" w:cs="宋体"/>
          <w:b/>
          <w:sz w:val="24"/>
          <w:szCs w:val="24"/>
        </w:rPr>
      </w:pPr>
      <w:bookmarkStart w:id="185" w:name="_Toc22267"/>
      <w:r>
        <w:rPr>
          <w:rFonts w:hint="eastAsia" w:ascii="宋体" w:hAnsi="宋体" w:eastAsia="宋体" w:cs="宋体"/>
          <w:b/>
          <w:sz w:val="24"/>
          <w:szCs w:val="24"/>
        </w:rPr>
        <w:t>2.7 延迟</w:t>
      </w:r>
      <w:bookmarkEnd w:id="182"/>
      <w:bookmarkEnd w:id="183"/>
      <w:bookmarkEnd w:id="184"/>
      <w:r>
        <w:rPr>
          <w:rFonts w:hint="eastAsia" w:ascii="宋体" w:hAnsi="宋体" w:eastAsia="宋体" w:cs="宋体"/>
          <w:b/>
          <w:sz w:val="24"/>
          <w:szCs w:val="24"/>
        </w:rPr>
        <w:t>履行</w:t>
      </w:r>
      <w:bookmarkEnd w:id="185"/>
    </w:p>
    <w:p w14:paraId="00450F0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17BDB06">
      <w:pPr>
        <w:spacing w:line="560" w:lineRule="exact"/>
        <w:ind w:firstLine="482" w:firstLineChars="200"/>
        <w:rPr>
          <w:rFonts w:ascii="宋体" w:hAnsi="宋体" w:eastAsia="宋体" w:cs="宋体"/>
          <w:b/>
          <w:sz w:val="24"/>
          <w:szCs w:val="24"/>
        </w:rPr>
      </w:pPr>
      <w:bookmarkStart w:id="186" w:name="_Toc10611"/>
      <w:bookmarkStart w:id="187" w:name="_Toc279701254"/>
      <w:bookmarkStart w:id="188" w:name="_Ref467378121"/>
      <w:bookmarkStart w:id="189" w:name="_Toc487900364"/>
      <w:bookmarkStart w:id="190" w:name="_Toc259093683"/>
      <w:r>
        <w:rPr>
          <w:rFonts w:hint="eastAsia" w:ascii="宋体" w:hAnsi="宋体" w:eastAsia="宋体" w:cs="宋体"/>
          <w:b/>
          <w:sz w:val="24"/>
          <w:szCs w:val="24"/>
        </w:rPr>
        <w:t>2.8 合同变更</w:t>
      </w:r>
      <w:bookmarkEnd w:id="186"/>
    </w:p>
    <w:p w14:paraId="3EAB17B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2.8.1 双方当事人协商一致，可以签订书面补充合同的形式变更合同，但不得违背</w:t>
      </w:r>
      <w:r>
        <w:rPr>
          <w:rFonts w:hint="eastAsia" w:ascii="宋体" w:hAnsi="宋体" w:cs="宋体"/>
          <w:sz w:val="24"/>
          <w:szCs w:val="24"/>
          <w:lang w:eastAsia="zh-CN"/>
        </w:rPr>
        <w:t>招标文件</w:t>
      </w:r>
      <w:r>
        <w:rPr>
          <w:rFonts w:hint="eastAsia" w:ascii="宋体" w:hAnsi="宋体" w:eastAsia="宋体" w:cs="宋体"/>
          <w:sz w:val="24"/>
          <w:szCs w:val="24"/>
        </w:rPr>
        <w:t>确定的事项，且如果系追加与合同标的相同的服务的，那么所有补充合同的采购金额不得超过原合同价的10%；</w:t>
      </w:r>
    </w:p>
    <w:p w14:paraId="7702C65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2.8.2 合同继续履行将损害国家利益和社会公共利益的，双方当事人应当以书面形式变更合同。有过错的一方应当承担赔偿责任，双方当事人都有过错的，各自承担相应的责任。</w:t>
      </w:r>
      <w:bookmarkStart w:id="191" w:name="_Toc487900369"/>
      <w:bookmarkStart w:id="192" w:name="_Toc279701259"/>
      <w:bookmarkStart w:id="193" w:name="_Toc259093688"/>
    </w:p>
    <w:p w14:paraId="5D441709">
      <w:pPr>
        <w:spacing w:line="560" w:lineRule="exact"/>
        <w:ind w:firstLine="482" w:firstLineChars="200"/>
        <w:rPr>
          <w:rFonts w:ascii="宋体" w:hAnsi="宋体" w:eastAsia="宋体" w:cs="宋体"/>
          <w:b/>
          <w:sz w:val="24"/>
          <w:szCs w:val="24"/>
        </w:rPr>
      </w:pPr>
      <w:bookmarkStart w:id="194" w:name="_Toc26689"/>
      <w:bookmarkStart w:id="195" w:name="_Toc23368"/>
      <w:bookmarkStart w:id="196" w:name="_Toc10663"/>
      <w:bookmarkStart w:id="197" w:name="_Toc21830"/>
      <w:bookmarkStart w:id="198" w:name="_Toc42"/>
      <w:r>
        <w:rPr>
          <w:rFonts w:hint="eastAsia" w:ascii="宋体" w:hAnsi="宋体" w:eastAsia="宋体" w:cs="宋体"/>
          <w:b/>
          <w:sz w:val="24"/>
          <w:szCs w:val="24"/>
        </w:rPr>
        <w:t>2.9 合同转让</w:t>
      </w:r>
      <w:bookmarkEnd w:id="191"/>
      <w:bookmarkEnd w:id="192"/>
      <w:bookmarkEnd w:id="193"/>
      <w:r>
        <w:rPr>
          <w:rFonts w:hint="eastAsia" w:ascii="宋体" w:hAnsi="宋体" w:eastAsia="宋体" w:cs="宋体"/>
          <w:b/>
          <w:sz w:val="24"/>
          <w:szCs w:val="24"/>
        </w:rPr>
        <w:t>和分包</w:t>
      </w:r>
      <w:bookmarkEnd w:id="194"/>
      <w:bookmarkEnd w:id="195"/>
      <w:bookmarkEnd w:id="196"/>
      <w:bookmarkEnd w:id="197"/>
      <w:bookmarkEnd w:id="198"/>
    </w:p>
    <w:p w14:paraId="6194129F">
      <w:pPr>
        <w:spacing w:line="560" w:lineRule="exact"/>
        <w:ind w:firstLine="480" w:firstLineChars="200"/>
        <w:rPr>
          <w:rFonts w:ascii="宋体" w:hAnsi="宋体" w:eastAsia="宋体" w:cs="宋体"/>
          <w:sz w:val="24"/>
          <w:szCs w:val="24"/>
        </w:rPr>
      </w:pPr>
      <w:r>
        <w:rPr>
          <w:rFonts w:hint="eastAsia" w:ascii="宋体" w:hAnsi="宋体" w:eastAsia="宋体" w:cs="宋体"/>
          <w:sz w:val="24"/>
        </w:rPr>
        <w:t>合同的权利义务依法不得转让，如招标文件“第一章 投标邀请函”中甲方接受中标后分包，</w:t>
      </w:r>
      <w:r>
        <w:rPr>
          <w:rFonts w:hint="eastAsia" w:ascii="宋体" w:hAnsi="宋体" w:eastAsia="宋体" w:cs="宋体"/>
          <w:sz w:val="24"/>
          <w:szCs w:val="24"/>
        </w:rPr>
        <w:t>乙方可</w:t>
      </w:r>
      <w:r>
        <w:rPr>
          <w:rFonts w:hint="eastAsia" w:ascii="宋体" w:hAnsi="宋体" w:eastAsia="宋体" w:cs="宋体"/>
          <w:sz w:val="24"/>
        </w:rPr>
        <w:t>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sz w:val="24"/>
          <w:lang w:eastAsia="zh-CN"/>
        </w:rPr>
        <w:t>投标人</w:t>
      </w:r>
      <w:r>
        <w:rPr>
          <w:rFonts w:hint="eastAsia" w:ascii="宋体" w:hAnsi="宋体" w:eastAsia="宋体" w:cs="宋体"/>
          <w:sz w:val="24"/>
        </w:rPr>
        <w:t>就分包项目向甲方承担连带责任。</w:t>
      </w:r>
    </w:p>
    <w:p w14:paraId="2B022F57">
      <w:pPr>
        <w:spacing w:line="560" w:lineRule="exact"/>
        <w:ind w:firstLine="482" w:firstLineChars="200"/>
        <w:rPr>
          <w:rFonts w:ascii="宋体" w:hAnsi="宋体" w:eastAsia="宋体" w:cs="宋体"/>
          <w:b/>
          <w:sz w:val="24"/>
          <w:szCs w:val="24"/>
        </w:rPr>
      </w:pPr>
      <w:bookmarkStart w:id="199" w:name="_Toc26633"/>
      <w:bookmarkStart w:id="200" w:name="_Toc25571"/>
      <w:bookmarkStart w:id="201" w:name="_Toc4720"/>
      <w:bookmarkStart w:id="202" w:name="_Toc14371"/>
      <w:bookmarkStart w:id="203" w:name="_Toc32494"/>
      <w:r>
        <w:rPr>
          <w:rFonts w:hint="eastAsia" w:ascii="宋体" w:hAnsi="宋体" w:eastAsia="宋体" w:cs="宋体"/>
          <w:b/>
          <w:sz w:val="24"/>
          <w:szCs w:val="24"/>
        </w:rPr>
        <w:t>2.10 不可抗力</w:t>
      </w:r>
      <w:bookmarkEnd w:id="199"/>
      <w:bookmarkEnd w:id="200"/>
      <w:bookmarkEnd w:id="201"/>
      <w:bookmarkEnd w:id="202"/>
      <w:bookmarkEnd w:id="203"/>
    </w:p>
    <w:p w14:paraId="7FFED3B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2.10.1如果任何一方遭遇法律规定的不可抗力，致使合同履行受阻时，履行合同的期限应予延长，延长的期限应相当于不可抗力所影响的时间；</w:t>
      </w:r>
    </w:p>
    <w:p w14:paraId="4E2F135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2.10.2 因不可抗力致使不能实现合同目的的，当事人可以解除合同；</w:t>
      </w:r>
    </w:p>
    <w:p w14:paraId="2AB35D3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2.10.3 因不可抗力致使合同有变更必要的，</w:t>
      </w:r>
      <w:r>
        <w:rPr>
          <w:rFonts w:hint="eastAsia" w:ascii="宋体" w:hAnsi="宋体" w:eastAsia="宋体" w:cs="宋体"/>
          <w:sz w:val="24"/>
        </w:rPr>
        <w:t>双方当事人应在约定时间内以书面形式变更合同</w:t>
      </w:r>
      <w:r>
        <w:rPr>
          <w:rFonts w:hint="eastAsia" w:ascii="宋体" w:hAnsi="宋体" w:eastAsia="宋体" w:cs="宋体"/>
          <w:sz w:val="24"/>
          <w:szCs w:val="24"/>
        </w:rPr>
        <w:t>；</w:t>
      </w:r>
    </w:p>
    <w:p w14:paraId="685A8F79">
      <w:pPr>
        <w:spacing w:line="560" w:lineRule="exact"/>
        <w:ind w:firstLine="480" w:firstLineChars="200"/>
        <w:rPr>
          <w:rFonts w:ascii="宋体" w:hAnsi="宋体" w:eastAsia="宋体" w:cs="Times New Roman"/>
          <w:bCs/>
          <w:sz w:val="24"/>
          <w:lang w:val="zh-CN"/>
        </w:rPr>
      </w:pPr>
      <w:r>
        <w:rPr>
          <w:rFonts w:hint="eastAsia" w:ascii="宋体" w:hAnsi="宋体" w:eastAsia="宋体" w:cs="宋体"/>
          <w:sz w:val="24"/>
          <w:szCs w:val="24"/>
        </w:rPr>
        <w:t xml:space="preserve">2.10.4 </w:t>
      </w:r>
      <w:r>
        <w:rPr>
          <w:rFonts w:hint="eastAsia" w:ascii="宋体" w:hAnsi="宋体" w:eastAsia="宋体" w:cs="Times New Roman"/>
          <w:bCs/>
          <w:sz w:val="24"/>
          <w:lang w:val="zh-CN"/>
        </w:rPr>
        <w:t>如遭遇不可抗力事件，遭遇不可抗力的一方应尽快以书面形式将不可抗力的情况和原因通知另一方，并</w:t>
      </w:r>
      <w:r>
        <w:rPr>
          <w:rFonts w:hint="eastAsia" w:ascii="宋体" w:hAnsi="宋体" w:eastAsia="宋体" w:cs="宋体"/>
          <w:sz w:val="24"/>
        </w:rPr>
        <w:t>将有关部门出具的证明文件送达对方当事人，</w:t>
      </w:r>
      <w:r>
        <w:rPr>
          <w:rFonts w:hint="eastAsia" w:ascii="宋体" w:hAnsi="宋体" w:eastAsia="宋体" w:cs="Times New Roman"/>
          <w:bCs/>
          <w:sz w:val="24"/>
          <w:lang w:val="zh-CN"/>
        </w:rPr>
        <w:t>积极采取措施防止损失扩大。因不可抗力造成的损失，甲乙双方按照法律规定处理；</w:t>
      </w:r>
    </w:p>
    <w:p w14:paraId="1C889779">
      <w:pPr>
        <w:spacing w:line="560" w:lineRule="exact"/>
        <w:ind w:firstLine="480" w:firstLineChars="200"/>
        <w:rPr>
          <w:rFonts w:ascii="宋体" w:hAnsi="宋体" w:eastAsia="宋体" w:cs="宋体"/>
          <w:sz w:val="24"/>
          <w:szCs w:val="24"/>
        </w:rPr>
      </w:pPr>
      <w:r>
        <w:rPr>
          <w:rFonts w:hint="eastAsia" w:ascii="宋体" w:hAnsi="宋体" w:eastAsia="宋体" w:cs="宋体"/>
          <w:sz w:val="24"/>
        </w:rPr>
        <w:t>2.10.5 “</w:t>
      </w:r>
      <w:r>
        <w:rPr>
          <w:rFonts w:hint="eastAsia" w:ascii="宋体" w:hAnsi="宋体" w:eastAsia="宋体" w:cs="Times New Roman"/>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288FC8A1">
      <w:pPr>
        <w:spacing w:line="560" w:lineRule="exact"/>
        <w:ind w:firstLine="482" w:firstLineChars="200"/>
        <w:rPr>
          <w:rFonts w:ascii="宋体" w:hAnsi="宋体" w:eastAsia="宋体" w:cs="宋体"/>
          <w:b/>
          <w:sz w:val="24"/>
          <w:szCs w:val="24"/>
        </w:rPr>
      </w:pPr>
      <w:bookmarkStart w:id="204" w:name="_Toc14115"/>
      <w:bookmarkStart w:id="205" w:name="_Toc259093684"/>
      <w:bookmarkStart w:id="206" w:name="_Toc24465"/>
      <w:bookmarkStart w:id="207" w:name="_Toc3638"/>
      <w:bookmarkStart w:id="208" w:name="_Toc23854"/>
      <w:bookmarkStart w:id="209" w:name="_Toc487900365"/>
      <w:bookmarkStart w:id="210" w:name="_Toc279701255"/>
      <w:bookmarkStart w:id="211" w:name="_Toc25783"/>
      <w:r>
        <w:rPr>
          <w:rFonts w:hint="eastAsia" w:ascii="宋体" w:hAnsi="宋体" w:eastAsia="宋体" w:cs="宋体"/>
          <w:b/>
          <w:sz w:val="24"/>
          <w:szCs w:val="24"/>
        </w:rPr>
        <w:t>2.11 税费</w:t>
      </w:r>
      <w:bookmarkEnd w:id="204"/>
      <w:bookmarkEnd w:id="205"/>
      <w:bookmarkEnd w:id="206"/>
      <w:bookmarkEnd w:id="207"/>
      <w:bookmarkEnd w:id="208"/>
      <w:bookmarkEnd w:id="209"/>
      <w:bookmarkEnd w:id="210"/>
      <w:bookmarkEnd w:id="211"/>
    </w:p>
    <w:p w14:paraId="5DFAC07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39DC8CEC">
      <w:pPr>
        <w:spacing w:line="560" w:lineRule="exact"/>
        <w:ind w:firstLine="482" w:firstLineChars="200"/>
        <w:rPr>
          <w:rFonts w:ascii="宋体" w:hAnsi="宋体" w:eastAsia="宋体" w:cs="宋体"/>
          <w:b/>
          <w:sz w:val="24"/>
          <w:szCs w:val="24"/>
        </w:rPr>
      </w:pPr>
      <w:bookmarkStart w:id="212" w:name="_Toc7315"/>
      <w:bookmarkStart w:id="213" w:name="_Toc26883"/>
      <w:bookmarkStart w:id="214" w:name="_Toc14814"/>
      <w:bookmarkStart w:id="215" w:name="_Toc30105"/>
      <w:bookmarkStart w:id="216" w:name="_Toc279701258"/>
      <w:bookmarkStart w:id="217" w:name="_Toc259093687"/>
      <w:bookmarkStart w:id="218" w:name="_Toc25525"/>
      <w:bookmarkStart w:id="219" w:name="_Toc487900368"/>
      <w:r>
        <w:rPr>
          <w:rFonts w:hint="eastAsia" w:ascii="宋体" w:hAnsi="宋体" w:eastAsia="宋体" w:cs="宋体"/>
          <w:b/>
          <w:sz w:val="24"/>
          <w:szCs w:val="24"/>
        </w:rPr>
        <w:t>2.12 乙方破产</w:t>
      </w:r>
      <w:bookmarkEnd w:id="212"/>
      <w:bookmarkEnd w:id="213"/>
      <w:bookmarkEnd w:id="214"/>
      <w:bookmarkEnd w:id="215"/>
      <w:bookmarkEnd w:id="216"/>
      <w:bookmarkEnd w:id="217"/>
      <w:bookmarkEnd w:id="218"/>
      <w:bookmarkEnd w:id="219"/>
    </w:p>
    <w:p w14:paraId="0A00702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D8A7AA">
      <w:pPr>
        <w:spacing w:line="560" w:lineRule="exact"/>
        <w:ind w:firstLine="482" w:firstLineChars="200"/>
        <w:rPr>
          <w:rFonts w:ascii="宋体" w:hAnsi="宋体" w:eastAsia="宋体" w:cs="宋体"/>
          <w:b/>
          <w:sz w:val="24"/>
          <w:szCs w:val="24"/>
        </w:rPr>
      </w:pPr>
      <w:bookmarkStart w:id="220" w:name="_Toc1123"/>
      <w:bookmarkStart w:id="221" w:name="_Toc2016"/>
      <w:bookmarkStart w:id="222" w:name="_Toc23323"/>
      <w:r>
        <w:rPr>
          <w:rFonts w:hint="eastAsia" w:ascii="宋体" w:hAnsi="宋体" w:eastAsia="宋体" w:cs="宋体"/>
          <w:b/>
          <w:sz w:val="24"/>
          <w:szCs w:val="24"/>
        </w:rPr>
        <w:t>2.13 合同中止、终止</w:t>
      </w:r>
      <w:bookmarkEnd w:id="220"/>
      <w:bookmarkEnd w:id="221"/>
      <w:bookmarkEnd w:id="222"/>
    </w:p>
    <w:p w14:paraId="06D370C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2.13.1 双方当事人不得擅自中止或者终止合同；</w:t>
      </w:r>
    </w:p>
    <w:p w14:paraId="7061CBD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2.13.2合同继续履行将损害国家利益和社会公共利益的，双方当事人应当中止或者终止合同。有过错的一方应当承担赔偿责任，双方当事人都有过错的，各自承担相应的责任。</w:t>
      </w:r>
    </w:p>
    <w:p w14:paraId="138629F3">
      <w:pPr>
        <w:spacing w:line="560" w:lineRule="exact"/>
        <w:ind w:firstLine="482" w:firstLineChars="200"/>
        <w:rPr>
          <w:rFonts w:ascii="宋体" w:hAnsi="宋体" w:eastAsia="宋体" w:cs="宋体"/>
          <w:b/>
          <w:sz w:val="24"/>
          <w:szCs w:val="24"/>
        </w:rPr>
      </w:pPr>
      <w:bookmarkStart w:id="223" w:name="_Toc14525"/>
      <w:bookmarkStart w:id="224" w:name="_Toc1969"/>
      <w:bookmarkStart w:id="225" w:name="_Toc17363"/>
      <w:r>
        <w:rPr>
          <w:rFonts w:hint="eastAsia" w:ascii="宋体" w:hAnsi="宋体" w:eastAsia="宋体" w:cs="宋体"/>
          <w:b/>
          <w:sz w:val="24"/>
          <w:szCs w:val="24"/>
        </w:rPr>
        <w:t>2.14 检验和验收</w:t>
      </w:r>
      <w:bookmarkEnd w:id="223"/>
      <w:bookmarkEnd w:id="224"/>
      <w:bookmarkEnd w:id="225"/>
    </w:p>
    <w:p w14:paraId="12D6A2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乙方应当在合同签订后</w:t>
      </w:r>
      <w:r>
        <w:rPr>
          <w:rFonts w:hint="eastAsia" w:ascii="宋体" w:hAnsi="宋体" w:eastAsia="宋体" w:cs="宋体"/>
          <w:sz w:val="24"/>
          <w:szCs w:val="24"/>
          <w:u w:val="single"/>
        </w:rPr>
        <w:t xml:space="preserve">     </w:t>
      </w:r>
      <w:r>
        <w:rPr>
          <w:rFonts w:hint="eastAsia" w:ascii="宋体" w:hAnsi="宋体" w:eastAsia="宋体" w:cs="宋体"/>
          <w:sz w:val="24"/>
          <w:szCs w:val="24"/>
        </w:rPr>
        <w:t>天内完成服务事项。</w:t>
      </w:r>
    </w:p>
    <w:p w14:paraId="4F2B7A2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2.14.2乙方按照约定，定期提交服务报告，甲方定期进行验收；</w:t>
      </w:r>
    </w:p>
    <w:p w14:paraId="651735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2.14.3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187"/>
    <w:bookmarkEnd w:id="188"/>
    <w:bookmarkEnd w:id="189"/>
    <w:bookmarkEnd w:id="190"/>
    <w:p w14:paraId="43EA19D7">
      <w:pPr>
        <w:spacing w:line="560" w:lineRule="exact"/>
        <w:ind w:firstLine="482" w:firstLineChars="200"/>
        <w:rPr>
          <w:rFonts w:ascii="宋体" w:hAnsi="宋体" w:eastAsia="宋体" w:cs="宋体"/>
          <w:b/>
          <w:sz w:val="24"/>
          <w:szCs w:val="24"/>
        </w:rPr>
      </w:pPr>
      <w:bookmarkStart w:id="226" w:name="_Toc487900371"/>
      <w:bookmarkStart w:id="227" w:name="_Toc259093690"/>
      <w:bookmarkStart w:id="228" w:name="_Toc279701261"/>
      <w:bookmarkStart w:id="229" w:name="_Toc31892"/>
      <w:bookmarkStart w:id="230" w:name="_Toc2308"/>
      <w:bookmarkStart w:id="231" w:name="_Toc25198"/>
      <w:bookmarkStart w:id="232" w:name="_Toc12666"/>
      <w:bookmarkStart w:id="233" w:name="_Toc9808"/>
      <w:r>
        <w:rPr>
          <w:rFonts w:hint="eastAsia" w:ascii="宋体" w:hAnsi="宋体" w:eastAsia="宋体" w:cs="宋体"/>
          <w:b/>
          <w:sz w:val="24"/>
          <w:szCs w:val="24"/>
        </w:rPr>
        <w:t>2.15 通知</w:t>
      </w:r>
      <w:bookmarkEnd w:id="226"/>
      <w:bookmarkEnd w:id="227"/>
      <w:bookmarkEnd w:id="228"/>
      <w:r>
        <w:rPr>
          <w:rFonts w:hint="eastAsia" w:ascii="宋体" w:hAnsi="宋体" w:eastAsia="宋体" w:cs="宋体"/>
          <w:b/>
          <w:sz w:val="24"/>
          <w:szCs w:val="24"/>
        </w:rPr>
        <w:t>和送达</w:t>
      </w:r>
      <w:bookmarkEnd w:id="229"/>
      <w:bookmarkEnd w:id="230"/>
      <w:bookmarkEnd w:id="231"/>
      <w:bookmarkEnd w:id="232"/>
      <w:bookmarkEnd w:id="233"/>
    </w:p>
    <w:p w14:paraId="679263F6">
      <w:pPr>
        <w:spacing w:line="560" w:lineRule="exact"/>
        <w:ind w:firstLine="480" w:firstLineChars="200"/>
        <w:rPr>
          <w:rFonts w:ascii="宋体" w:hAnsi="宋体" w:eastAsia="宋体" w:cs="宋体"/>
          <w:sz w:val="24"/>
          <w:szCs w:val="24"/>
        </w:rPr>
      </w:pPr>
      <w:bookmarkStart w:id="234" w:name="_Toc29220"/>
      <w:bookmarkStart w:id="235" w:name="_Toc7073"/>
      <w:bookmarkStart w:id="236" w:name="_Toc279701262"/>
      <w:bookmarkStart w:id="237" w:name="_Toc487900372"/>
      <w:bookmarkStart w:id="238" w:name="_Toc259093691"/>
      <w:r>
        <w:rPr>
          <w:rFonts w:hint="eastAsia" w:ascii="宋体" w:hAnsi="宋体" w:eastAsia="宋体" w:cs="宋体"/>
          <w:sz w:val="24"/>
          <w:szCs w:val="24"/>
        </w:rPr>
        <w:t>2.15.1 任何一方因履行合同而以合同第一部分尾部所列明的</w:t>
      </w:r>
      <w:r>
        <w:rPr>
          <w:rFonts w:hint="eastAsia" w:ascii="宋体" w:hAnsi="宋体" w:eastAsia="宋体" w:cs="宋体"/>
          <w:sz w:val="24"/>
          <w:szCs w:val="24"/>
          <w:u w:val="single"/>
        </w:rPr>
        <w:t xml:space="preserve">   文件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7</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234"/>
      <w:bookmarkEnd w:id="235"/>
    </w:p>
    <w:p w14:paraId="09448A80">
      <w:pPr>
        <w:spacing w:line="560" w:lineRule="exact"/>
        <w:ind w:firstLine="480" w:firstLineChars="200"/>
        <w:rPr>
          <w:rFonts w:ascii="宋体" w:hAnsi="宋体" w:eastAsia="宋体" w:cs="宋体"/>
          <w:sz w:val="24"/>
          <w:szCs w:val="24"/>
        </w:rPr>
      </w:pPr>
      <w:bookmarkStart w:id="239" w:name="_Toc18401"/>
      <w:bookmarkStart w:id="240" w:name="_Toc27674"/>
      <w:r>
        <w:rPr>
          <w:rFonts w:hint="eastAsia" w:ascii="宋体" w:hAnsi="宋体" w:eastAsia="宋体" w:cs="宋体"/>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9"/>
      <w:bookmarkEnd w:id="240"/>
    </w:p>
    <w:bookmarkEnd w:id="236"/>
    <w:bookmarkEnd w:id="237"/>
    <w:bookmarkEnd w:id="238"/>
    <w:p w14:paraId="0E8D82E3">
      <w:pPr>
        <w:spacing w:line="560" w:lineRule="exact"/>
        <w:ind w:firstLine="482" w:firstLineChars="200"/>
        <w:rPr>
          <w:rFonts w:ascii="宋体" w:hAnsi="宋体" w:eastAsia="宋体" w:cs="宋体"/>
          <w:b/>
          <w:sz w:val="24"/>
          <w:szCs w:val="24"/>
        </w:rPr>
      </w:pPr>
      <w:bookmarkStart w:id="241" w:name="_Toc279701263"/>
      <w:bookmarkStart w:id="242" w:name="_Toc20808"/>
      <w:bookmarkStart w:id="243" w:name="_Toc12254"/>
      <w:bookmarkStart w:id="244" w:name="_Toc5063"/>
      <w:bookmarkStart w:id="245" w:name="_Toc487900373"/>
      <w:bookmarkStart w:id="246" w:name="_Toc27644"/>
      <w:bookmarkStart w:id="247" w:name="_Toc28906"/>
      <w:bookmarkStart w:id="248" w:name="_Toc259093692"/>
      <w:r>
        <w:rPr>
          <w:rFonts w:hint="eastAsia" w:ascii="宋体" w:hAnsi="宋体" w:eastAsia="宋体" w:cs="宋体"/>
          <w:b/>
          <w:sz w:val="24"/>
          <w:szCs w:val="24"/>
        </w:rPr>
        <w:t>2.16 合同使用的文字和适用的法律</w:t>
      </w:r>
      <w:bookmarkEnd w:id="241"/>
      <w:bookmarkEnd w:id="242"/>
      <w:bookmarkEnd w:id="243"/>
      <w:bookmarkEnd w:id="244"/>
      <w:bookmarkEnd w:id="245"/>
      <w:bookmarkEnd w:id="246"/>
      <w:bookmarkEnd w:id="247"/>
      <w:bookmarkEnd w:id="248"/>
    </w:p>
    <w:p w14:paraId="24A6C88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2.16.1 合同使用汉语书就、变更和解释；</w:t>
      </w:r>
    </w:p>
    <w:p w14:paraId="52F93D2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2.16.2 合同适用中华人民共和国法律。</w:t>
      </w:r>
    </w:p>
    <w:p w14:paraId="599A8B52">
      <w:pPr>
        <w:spacing w:line="56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2.17 履约保证金</w:t>
      </w:r>
    </w:p>
    <w:p w14:paraId="3C1FA815">
      <w:pPr>
        <w:spacing w:line="560" w:lineRule="exact"/>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2.17.1 签订合同前，中标</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须按下表要求交纳中标合同总金额</w:t>
      </w:r>
      <w:r>
        <w:rPr>
          <w:rFonts w:hint="eastAsia" w:ascii="宋体" w:hAnsi="宋体" w:eastAsia="宋体" w:cs="宋体"/>
          <w:sz w:val="24"/>
          <w:szCs w:val="24"/>
          <w:highlight w:val="none"/>
          <w:u w:val="single"/>
          <w:lang w:val="en-US" w:eastAsia="zh-CN"/>
        </w:rPr>
        <w:t xml:space="preserve"> 10%</w:t>
      </w:r>
      <w:r>
        <w:rPr>
          <w:rFonts w:hint="eastAsia" w:ascii="宋体" w:hAnsi="宋体" w:eastAsia="宋体" w:cs="宋体"/>
          <w:sz w:val="24"/>
          <w:szCs w:val="24"/>
          <w:highlight w:val="none"/>
          <w:lang w:val="en-US" w:eastAsia="zh-CN"/>
        </w:rPr>
        <w:t>的履约保证金。</w:t>
      </w:r>
    </w:p>
    <w:tbl>
      <w:tblPr>
        <w:tblStyle w:val="1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950"/>
        <w:gridCol w:w="904"/>
        <w:gridCol w:w="2852"/>
      </w:tblGrid>
      <w:tr w14:paraId="355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92" w:type="dxa"/>
            <w:noWrap w:val="0"/>
            <w:vAlign w:val="center"/>
          </w:tcPr>
          <w:p w14:paraId="5D4BC563">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收款单位</w:t>
            </w:r>
          </w:p>
        </w:tc>
        <w:tc>
          <w:tcPr>
            <w:tcW w:w="3950" w:type="dxa"/>
            <w:noWrap w:val="0"/>
            <w:vAlign w:val="center"/>
          </w:tcPr>
          <w:p w14:paraId="23F295BC">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宜兴市公用市政工程有限公司</w:t>
            </w:r>
          </w:p>
        </w:tc>
        <w:tc>
          <w:tcPr>
            <w:tcW w:w="904" w:type="dxa"/>
            <w:vMerge w:val="restart"/>
            <w:noWrap w:val="0"/>
            <w:vAlign w:val="center"/>
          </w:tcPr>
          <w:p w14:paraId="1052D936">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交纳形式</w:t>
            </w:r>
          </w:p>
        </w:tc>
        <w:tc>
          <w:tcPr>
            <w:tcW w:w="2852" w:type="dxa"/>
            <w:vMerge w:val="restart"/>
            <w:noWrap w:val="0"/>
            <w:vAlign w:val="center"/>
          </w:tcPr>
          <w:p w14:paraId="2BB723CA">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履约保证金的交纳形式限于电汇转账、本票、银行汇票(不接受其他形式的履约保证金)</w:t>
            </w:r>
          </w:p>
        </w:tc>
      </w:tr>
      <w:tr w14:paraId="5E2A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92" w:type="dxa"/>
            <w:noWrap w:val="0"/>
            <w:vAlign w:val="center"/>
          </w:tcPr>
          <w:p w14:paraId="1071EE26">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开户行</w:t>
            </w:r>
          </w:p>
        </w:tc>
        <w:tc>
          <w:tcPr>
            <w:tcW w:w="3950" w:type="dxa"/>
            <w:noWrap w:val="0"/>
            <w:vAlign w:val="center"/>
          </w:tcPr>
          <w:p w14:paraId="1C919910">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招商银行宜兴支行</w:t>
            </w:r>
          </w:p>
        </w:tc>
        <w:tc>
          <w:tcPr>
            <w:tcW w:w="904" w:type="dxa"/>
            <w:vMerge w:val="continue"/>
            <w:noWrap w:val="0"/>
            <w:vAlign w:val="center"/>
          </w:tcPr>
          <w:p w14:paraId="7FC310D2">
            <w:pPr>
              <w:spacing w:line="560" w:lineRule="exact"/>
              <w:jc w:val="center"/>
              <w:rPr>
                <w:rFonts w:hint="eastAsia" w:ascii="宋体" w:hAnsi="宋体" w:eastAsia="宋体" w:cs="宋体"/>
                <w:sz w:val="24"/>
                <w:szCs w:val="24"/>
                <w:highlight w:val="none"/>
                <w:vertAlign w:val="baseline"/>
                <w:lang w:val="en-US" w:eastAsia="zh-CN"/>
              </w:rPr>
            </w:pPr>
          </w:p>
        </w:tc>
        <w:tc>
          <w:tcPr>
            <w:tcW w:w="2852" w:type="dxa"/>
            <w:vMerge w:val="continue"/>
            <w:noWrap w:val="0"/>
            <w:vAlign w:val="center"/>
          </w:tcPr>
          <w:p w14:paraId="6DAFF046">
            <w:pPr>
              <w:spacing w:line="560" w:lineRule="exact"/>
              <w:jc w:val="center"/>
              <w:rPr>
                <w:rFonts w:hint="eastAsia" w:ascii="宋体" w:hAnsi="宋体" w:eastAsia="宋体" w:cs="宋体"/>
                <w:sz w:val="24"/>
                <w:szCs w:val="24"/>
                <w:highlight w:val="none"/>
                <w:vertAlign w:val="baseline"/>
                <w:lang w:val="en-US" w:eastAsia="zh-CN"/>
              </w:rPr>
            </w:pPr>
          </w:p>
        </w:tc>
      </w:tr>
      <w:tr w14:paraId="7D6F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292" w:type="dxa"/>
            <w:noWrap w:val="0"/>
            <w:vAlign w:val="center"/>
          </w:tcPr>
          <w:p w14:paraId="0D2E0E4F">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账 号</w:t>
            </w:r>
          </w:p>
        </w:tc>
        <w:tc>
          <w:tcPr>
            <w:tcW w:w="3950" w:type="dxa"/>
            <w:noWrap w:val="0"/>
            <w:vAlign w:val="center"/>
          </w:tcPr>
          <w:p w14:paraId="1F16A4C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610902131610501</w:t>
            </w:r>
          </w:p>
        </w:tc>
        <w:tc>
          <w:tcPr>
            <w:tcW w:w="904" w:type="dxa"/>
            <w:vMerge w:val="continue"/>
            <w:noWrap w:val="0"/>
            <w:vAlign w:val="center"/>
          </w:tcPr>
          <w:p w14:paraId="51CA264E">
            <w:pPr>
              <w:spacing w:line="560" w:lineRule="exact"/>
              <w:jc w:val="center"/>
              <w:rPr>
                <w:rFonts w:hint="eastAsia" w:ascii="宋体" w:hAnsi="宋体" w:eastAsia="宋体" w:cs="宋体"/>
                <w:sz w:val="24"/>
                <w:szCs w:val="24"/>
                <w:highlight w:val="none"/>
                <w:vertAlign w:val="baseline"/>
                <w:lang w:val="en-US" w:eastAsia="zh-CN"/>
              </w:rPr>
            </w:pPr>
          </w:p>
        </w:tc>
        <w:tc>
          <w:tcPr>
            <w:tcW w:w="2852" w:type="dxa"/>
            <w:vMerge w:val="continue"/>
            <w:noWrap w:val="0"/>
            <w:vAlign w:val="center"/>
          </w:tcPr>
          <w:p w14:paraId="3FB48308">
            <w:pPr>
              <w:spacing w:line="560" w:lineRule="exact"/>
              <w:jc w:val="center"/>
              <w:rPr>
                <w:rFonts w:hint="eastAsia" w:ascii="宋体" w:hAnsi="宋体" w:eastAsia="宋体" w:cs="宋体"/>
                <w:sz w:val="24"/>
                <w:szCs w:val="24"/>
                <w:highlight w:val="none"/>
                <w:vertAlign w:val="baseline"/>
                <w:lang w:val="en-US" w:eastAsia="zh-CN"/>
              </w:rPr>
            </w:pPr>
          </w:p>
        </w:tc>
      </w:tr>
    </w:tbl>
    <w:p w14:paraId="6BD919EA">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2.17.2 （1）</w:t>
      </w:r>
      <w:r>
        <w:rPr>
          <w:rFonts w:hint="eastAsia" w:ascii="宋体" w:hAnsi="宋体" w:eastAsia="宋体" w:cs="宋体"/>
          <w:color w:val="0000FF"/>
          <w:sz w:val="24"/>
          <w:szCs w:val="24"/>
          <w:highlight w:val="none"/>
          <w:lang w:val="en-US" w:eastAsia="zh-CN"/>
        </w:rPr>
        <w:t>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47770A74">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3F19D2">
      <w:pPr>
        <w:spacing w:line="560" w:lineRule="exact"/>
        <w:ind w:firstLine="480" w:firstLineChars="200"/>
        <w:rPr>
          <w:rFonts w:ascii="黑体" w:hAnsi="黑体" w:eastAsia="黑体" w:cs="Times New Roman"/>
          <w:sz w:val="28"/>
        </w:rPr>
      </w:pPr>
      <w:r>
        <w:rPr>
          <w:rFonts w:hint="eastAsia" w:ascii="宋体" w:hAnsi="宋体" w:eastAsia="宋体" w:cs="宋体"/>
          <w:sz w:val="24"/>
          <w:szCs w:val="24"/>
          <w:highlight w:val="none"/>
          <w:lang w:val="en-US" w:eastAsia="zh-CN"/>
        </w:rPr>
        <w:t>2.17.4 如果甲方未及时退还履约保证金，相关责任由甲乙双方在合同中自行约定。</w:t>
      </w:r>
    </w:p>
    <w:p w14:paraId="4C63B2D8">
      <w:pPr>
        <w:spacing w:line="360" w:lineRule="auto"/>
        <w:jc w:val="center"/>
        <w:outlineLvl w:val="0"/>
        <w:rPr>
          <w:rFonts w:hint="eastAsia" w:ascii="黑体" w:hAnsi="黑体" w:eastAsia="黑体"/>
          <w:color w:val="auto"/>
          <w:sz w:val="28"/>
          <w:highlight w:val="none"/>
        </w:rPr>
      </w:pPr>
    </w:p>
    <w:p w14:paraId="3B226573">
      <w:pPr>
        <w:spacing w:line="360" w:lineRule="auto"/>
        <w:jc w:val="center"/>
        <w:outlineLvl w:val="0"/>
        <w:rPr>
          <w:rFonts w:hint="eastAsia" w:ascii="黑体" w:hAnsi="黑体" w:eastAsia="黑体"/>
          <w:color w:val="auto"/>
          <w:sz w:val="28"/>
          <w:highlight w:val="none"/>
        </w:rPr>
      </w:pPr>
    </w:p>
    <w:p w14:paraId="515E3219">
      <w:pPr>
        <w:spacing w:line="360" w:lineRule="auto"/>
        <w:jc w:val="center"/>
        <w:outlineLvl w:val="0"/>
        <w:rPr>
          <w:rFonts w:hint="eastAsia" w:ascii="黑体" w:hAnsi="黑体" w:eastAsia="黑体"/>
          <w:color w:val="auto"/>
          <w:sz w:val="28"/>
          <w:highlight w:val="none"/>
        </w:rPr>
      </w:pPr>
    </w:p>
    <w:p w14:paraId="7364E8AC">
      <w:pPr>
        <w:ind w:firstLine="1960" w:firstLineChars="70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六</w:t>
      </w:r>
      <w:r>
        <w:rPr>
          <w:rFonts w:hint="eastAsia" w:ascii="黑体" w:hAnsi="黑体" w:eastAsia="黑体"/>
          <w:color w:val="auto"/>
          <w:sz w:val="28"/>
          <w:highlight w:val="none"/>
        </w:rPr>
        <w:t>章 附件（</w:t>
      </w:r>
      <w:r>
        <w:rPr>
          <w:rFonts w:hint="eastAsia" w:ascii="黑体" w:hAnsi="黑体" w:eastAsia="黑体"/>
          <w:color w:val="auto"/>
          <w:sz w:val="28"/>
          <w:highlight w:val="none"/>
          <w:lang w:eastAsia="zh-CN"/>
        </w:rPr>
        <w:t>投标文件</w:t>
      </w:r>
      <w:r>
        <w:rPr>
          <w:rFonts w:hint="eastAsia" w:ascii="黑体" w:hAnsi="黑体" w:eastAsia="黑体"/>
          <w:color w:val="auto"/>
          <w:sz w:val="28"/>
          <w:highlight w:val="none"/>
        </w:rPr>
        <w:t>格式）</w:t>
      </w:r>
      <w:bookmarkEnd w:id="82"/>
      <w:bookmarkEnd w:id="83"/>
    </w:p>
    <w:p w14:paraId="71C42353">
      <w:pPr>
        <w:rPr>
          <w:rFonts w:hint="eastAsia"/>
          <w:color w:val="auto"/>
          <w:highlight w:val="none"/>
        </w:rPr>
      </w:pPr>
    </w:p>
    <w:p w14:paraId="793FC665">
      <w:pPr>
        <w:rPr>
          <w:rFonts w:hint="eastAsia"/>
          <w:color w:val="auto"/>
          <w:highlight w:val="none"/>
        </w:rPr>
      </w:pPr>
    </w:p>
    <w:p w14:paraId="42788BCE">
      <w:pPr>
        <w:jc w:val="center"/>
        <w:rPr>
          <w:rFonts w:hint="eastAsia" w:ascii="宋体" w:hAnsi="宋体" w:eastAsia="宋体"/>
          <w:b/>
          <w:color w:val="auto"/>
          <w:sz w:val="120"/>
          <w:szCs w:val="120"/>
          <w:highlight w:val="none"/>
          <w:lang w:eastAsia="zh-CN"/>
        </w:rPr>
      </w:pPr>
      <w:r>
        <w:rPr>
          <w:rFonts w:hint="eastAsia" w:ascii="宋体" w:hAnsi="宋体"/>
          <w:b/>
          <w:color w:val="auto"/>
          <w:sz w:val="120"/>
          <w:szCs w:val="120"/>
          <w:highlight w:val="none"/>
          <w:lang w:eastAsia="zh-CN"/>
        </w:rPr>
        <w:t>投标文件</w:t>
      </w:r>
    </w:p>
    <w:p w14:paraId="78E37CD5">
      <w:pPr>
        <w:jc w:val="center"/>
        <w:rPr>
          <w:rFonts w:hint="eastAsia" w:ascii="宋体" w:hAnsi="宋体"/>
          <w:b/>
          <w:color w:val="auto"/>
          <w:sz w:val="32"/>
          <w:szCs w:val="32"/>
          <w:highlight w:val="none"/>
        </w:rPr>
      </w:pPr>
    </w:p>
    <w:p w14:paraId="579E4213">
      <w:pPr>
        <w:jc w:val="center"/>
        <w:rPr>
          <w:rFonts w:hint="eastAsia" w:ascii="宋体" w:hAnsi="宋体"/>
          <w:b/>
          <w:color w:val="auto"/>
          <w:sz w:val="32"/>
          <w:szCs w:val="32"/>
          <w:highlight w:val="none"/>
        </w:rPr>
      </w:pPr>
    </w:p>
    <w:p w14:paraId="1773B2C9">
      <w:pPr>
        <w:rPr>
          <w:rFonts w:hint="eastAsia" w:ascii="宋体" w:hAnsi="宋体"/>
          <w:b/>
          <w:color w:val="auto"/>
          <w:sz w:val="32"/>
          <w:szCs w:val="32"/>
          <w:highlight w:val="none"/>
        </w:rPr>
      </w:pPr>
    </w:p>
    <w:p w14:paraId="0CF88ABE">
      <w:pPr>
        <w:rPr>
          <w:rFonts w:hint="eastAsia" w:ascii="宋体" w:hAnsi="宋体"/>
          <w:b/>
          <w:color w:val="auto"/>
          <w:sz w:val="32"/>
          <w:szCs w:val="32"/>
          <w:highlight w:val="none"/>
        </w:rPr>
      </w:pPr>
    </w:p>
    <w:p w14:paraId="4F900638">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lang w:eastAsia="zh-CN"/>
        </w:rPr>
        <w:t>太湖内源污染治理(太湖西岸宜兴近岸区域)一期工程临时用地组卷报批服务项目</w:t>
      </w:r>
      <w:r>
        <w:rPr>
          <w:rFonts w:hint="eastAsia" w:ascii="宋体" w:hAnsi="宋体"/>
          <w:b/>
          <w:color w:val="auto"/>
          <w:sz w:val="32"/>
          <w:szCs w:val="32"/>
          <w:highlight w:val="none"/>
          <w:u w:val="single"/>
        </w:rPr>
        <w:t xml:space="preserve"> </w:t>
      </w:r>
    </w:p>
    <w:p w14:paraId="7E5F9A81">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82944C1">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5096C9A3">
      <w:pPr>
        <w:rPr>
          <w:rFonts w:hint="eastAsia" w:ascii="楷体_GB2312" w:eastAsia="楷体_GB2312"/>
          <w:b/>
          <w:color w:val="auto"/>
          <w:sz w:val="32"/>
          <w:szCs w:val="32"/>
          <w:highlight w:val="none"/>
        </w:rPr>
      </w:pPr>
    </w:p>
    <w:p w14:paraId="08BF38C7">
      <w:pPr>
        <w:rPr>
          <w:rFonts w:hint="eastAsia" w:ascii="楷体_GB2312" w:eastAsia="楷体_GB2312"/>
          <w:b/>
          <w:color w:val="auto"/>
          <w:sz w:val="32"/>
          <w:szCs w:val="32"/>
          <w:highlight w:val="none"/>
        </w:rPr>
      </w:pPr>
    </w:p>
    <w:p w14:paraId="6C84CAFB">
      <w:pPr>
        <w:rPr>
          <w:rFonts w:hint="eastAsia" w:ascii="楷体_GB2312" w:eastAsia="楷体_GB2312"/>
          <w:b/>
          <w:color w:val="auto"/>
          <w:sz w:val="32"/>
          <w:szCs w:val="32"/>
          <w:highlight w:val="none"/>
        </w:rPr>
      </w:pPr>
    </w:p>
    <w:p w14:paraId="178961B6">
      <w:pPr>
        <w:rPr>
          <w:rFonts w:hint="eastAsia" w:ascii="楷体_GB2312" w:eastAsia="楷体_GB2312"/>
          <w:b/>
          <w:color w:val="auto"/>
          <w:sz w:val="32"/>
          <w:szCs w:val="32"/>
          <w:highlight w:val="none"/>
        </w:rPr>
      </w:pPr>
    </w:p>
    <w:p w14:paraId="64BF9108">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D957D0B">
      <w:pPr>
        <w:rPr>
          <w:rFonts w:ascii="宋体"/>
          <w:b/>
          <w:bCs/>
          <w:color w:val="auto"/>
          <w:sz w:val="24"/>
          <w:szCs w:val="24"/>
          <w:highlight w:val="none"/>
        </w:rPr>
      </w:pPr>
      <w:bookmarkStart w:id="249"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5005A465">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E8DFADA">
      <w:pPr>
        <w:spacing w:line="360" w:lineRule="auto"/>
        <w:ind w:firstLine="480" w:firstLineChars="200"/>
        <w:rPr>
          <w:rFonts w:hint="eastAsia" w:ascii="宋体" w:hAnsi="宋体" w:eastAsia="宋体" w:cs="Times New Roman"/>
          <w:bCs/>
          <w:color w:val="auto"/>
          <w:sz w:val="24"/>
          <w:highlight w:val="none"/>
          <w:lang w:val="zh-CN"/>
        </w:rPr>
      </w:pPr>
      <w:r>
        <w:rPr>
          <w:rFonts w:hint="eastAsia" w:ascii="宋体" w:hAnsi="宋体"/>
          <w:bCs/>
          <w:color w:val="auto"/>
          <w:sz w:val="24"/>
          <w:highlight w:val="none"/>
          <w:lang w:val="zh-CN"/>
        </w:rPr>
        <w:t>致宜兴市公用市政工程有限公司、</w:t>
      </w:r>
      <w:r>
        <w:rPr>
          <w:rFonts w:hint="eastAsia" w:ascii="宋体" w:hAnsi="宋体"/>
          <w:bCs/>
          <w:color w:val="auto"/>
          <w:sz w:val="24"/>
          <w:szCs w:val="24"/>
          <w:highlight w:val="none"/>
          <w:lang w:eastAsia="zh-CN"/>
        </w:rPr>
        <w:t>江苏鸿成工程项目管理有限公司</w:t>
      </w:r>
      <w:r>
        <w:rPr>
          <w:rFonts w:hint="eastAsia" w:ascii="宋体" w:hAnsi="宋体" w:eastAsia="宋体" w:cs="Times New Roman"/>
          <w:bCs/>
          <w:color w:val="auto"/>
          <w:sz w:val="24"/>
          <w:highlight w:val="none"/>
          <w:lang w:val="zh-CN"/>
        </w:rPr>
        <w:t>：</w:t>
      </w:r>
    </w:p>
    <w:p w14:paraId="43A2E7DA">
      <w:pPr>
        <w:spacing w:line="360" w:lineRule="auto"/>
        <w:ind w:firstLine="480" w:firstLineChars="200"/>
        <w:rPr>
          <w:rFonts w:hint="eastAsia" w:ascii="宋体" w:hAnsi="宋体"/>
          <w:bCs/>
          <w:color w:val="auto"/>
          <w:sz w:val="24"/>
          <w:highlight w:val="none"/>
          <w:lang w:val="zh-CN"/>
        </w:rPr>
      </w:pPr>
      <w:r>
        <w:rPr>
          <w:rFonts w:hint="eastAsia" w:ascii="宋体" w:hAnsi="宋体" w:eastAsia="宋体" w:cs="Times New Roman"/>
          <w:bCs/>
          <w:color w:val="auto"/>
          <w:sz w:val="24"/>
          <w:highlight w:val="none"/>
          <w:lang w:val="zh-CN"/>
        </w:rPr>
        <w:t>我方收到你们</w:t>
      </w:r>
      <w:r>
        <w:rPr>
          <w:rFonts w:hint="eastAsia" w:ascii="宋体" w:hAnsi="宋体" w:cs="Times New Roman"/>
          <w:bCs/>
          <w:color w:val="auto"/>
          <w:sz w:val="24"/>
          <w:highlight w:val="none"/>
          <w:lang w:val="zh-CN"/>
        </w:rPr>
        <w:t>太湖内源污染治理(太湖西岸宜兴近岸区域)一期工程临时用地组卷报批服务项目</w:t>
      </w:r>
      <w:r>
        <w:rPr>
          <w:rFonts w:hint="eastAsia" w:ascii="宋体" w:hAnsi="宋体" w:eastAsia="宋体" w:cs="Times New Roman"/>
          <w:bCs/>
          <w:color w:val="auto"/>
          <w:sz w:val="24"/>
          <w:highlight w:val="none"/>
          <w:lang w:val="zh-CN"/>
        </w:rPr>
        <w:t>招</w:t>
      </w:r>
      <w:r>
        <w:rPr>
          <w:rFonts w:hint="eastAsia" w:ascii="宋体" w:hAnsi="宋体"/>
          <w:bCs/>
          <w:color w:val="auto"/>
          <w:sz w:val="24"/>
          <w:highlight w:val="none"/>
          <w:lang w:val="zh-CN"/>
        </w:rPr>
        <w:t>标文件，经仔细阅读和研究，我方决定参加投标。</w:t>
      </w:r>
    </w:p>
    <w:p w14:paraId="0A386A80">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705B53F6">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184BE414">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0DC2AC36">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303F1623">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0FF7378F">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我方认为招标人有权确定中标投标人。</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099A9154">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0506C5AC">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56A62DDA">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如果我方中标，我方愿意遵守招标文件和中标通知书的规定，在指定时间和地点与招标人签订合同，并在签订合同前按招标文件的规定交纳履约保证金。</w:t>
      </w:r>
    </w:p>
    <w:p w14:paraId="26CABBA5">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招标人、其他投标人或者代理机构恶意串通，决不向招标人、代理机构工作人员和评委进行商业贿赂，决不在采购过程中与招标人进行协商谈判，决不拒绝有关部门监督检查，如有违反，无条件接受相关管理部门的处罚。</w:t>
      </w:r>
    </w:p>
    <w:p w14:paraId="35E207DA">
      <w:pPr>
        <w:numPr>
          <w:ilvl w:val="0"/>
          <w:numId w:val="12"/>
        </w:numPr>
        <w:spacing w:line="360" w:lineRule="auto"/>
        <w:ind w:firstLine="480" w:firstLineChars="200"/>
        <w:rPr>
          <w:rFonts w:hint="eastAsia" w:ascii="宋体" w:hAnsi="宋体"/>
          <w:bCs/>
          <w:color w:val="auto"/>
          <w:sz w:val="24"/>
          <w:highlight w:val="none"/>
          <w:lang w:val="zh-CN"/>
        </w:rPr>
      </w:pPr>
      <w:bookmarkStart w:id="250" w:name="OLE_LINK231"/>
      <w:bookmarkStart w:id="251" w:name="OLE_LINK281"/>
      <w:r>
        <w:rPr>
          <w:rFonts w:hint="eastAsia" w:ascii="宋体" w:hAnsi="宋体"/>
          <w:bCs/>
          <w:color w:val="auto"/>
          <w:sz w:val="24"/>
          <w:highlight w:val="none"/>
          <w:lang w:val="zh-CN"/>
        </w:rPr>
        <w:t>我方不是为本项目提供整体设计、规范编制或者项目管理、监理、检测等服务的投标人。</w:t>
      </w:r>
      <w:bookmarkEnd w:id="250"/>
    </w:p>
    <w:p w14:paraId="2751BD4A">
      <w:pPr>
        <w:numPr>
          <w:ilvl w:val="0"/>
          <w:numId w:val="12"/>
        </w:numPr>
        <w:spacing w:line="360" w:lineRule="auto"/>
        <w:ind w:firstLine="480" w:firstLineChars="200"/>
        <w:rPr>
          <w:rFonts w:hint="eastAsia" w:ascii="宋体" w:hAnsi="宋体"/>
          <w:bCs/>
          <w:color w:val="auto"/>
          <w:sz w:val="24"/>
          <w:highlight w:val="none"/>
          <w:lang w:val="zh-CN"/>
        </w:rPr>
      </w:pPr>
      <w:bookmarkStart w:id="252" w:name="OLE_LINK233"/>
      <w:r>
        <w:rPr>
          <w:rFonts w:hint="eastAsia" w:ascii="宋体" w:hAnsi="宋体"/>
          <w:bCs/>
          <w:color w:val="auto"/>
          <w:sz w:val="24"/>
          <w:highlight w:val="none"/>
          <w:lang w:val="zh-CN"/>
        </w:rPr>
        <w:t>关联单位情况说明：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5FCC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03306E6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21BEDC52">
            <w:pPr>
              <w:spacing w:line="360" w:lineRule="auto"/>
              <w:rPr>
                <w:rFonts w:hint="eastAsia" w:ascii="宋体" w:hAnsi="宋体"/>
                <w:bCs/>
                <w:color w:val="auto"/>
                <w:sz w:val="24"/>
                <w:highlight w:val="none"/>
                <w:lang w:val="zh-CN"/>
              </w:rPr>
            </w:pPr>
          </w:p>
        </w:tc>
      </w:tr>
      <w:tr w14:paraId="72E3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5337F7E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154C0826">
            <w:pPr>
              <w:spacing w:line="360" w:lineRule="auto"/>
              <w:rPr>
                <w:rFonts w:hint="eastAsia" w:ascii="宋体" w:hAnsi="宋体"/>
                <w:bCs/>
                <w:color w:val="auto"/>
                <w:sz w:val="24"/>
                <w:highlight w:val="none"/>
                <w:lang w:val="zh-CN"/>
              </w:rPr>
            </w:pPr>
          </w:p>
        </w:tc>
      </w:tr>
    </w:tbl>
    <w:p w14:paraId="7FA0466D">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1308FE0D">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6892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2F9E41F">
            <w:pPr>
              <w:spacing w:line="360" w:lineRule="auto"/>
              <w:jc w:val="center"/>
              <w:rPr>
                <w:rFonts w:ascii="宋体" w:hAnsi="宋体"/>
                <w:bCs/>
                <w:color w:val="auto"/>
                <w:sz w:val="24"/>
                <w:highlight w:val="none"/>
                <w:lang w:val="zh-CN"/>
              </w:rPr>
            </w:pPr>
            <w:bookmarkStart w:id="253" w:name="OLE_LINK249"/>
            <w:r>
              <w:rPr>
                <w:rFonts w:hint="eastAsia" w:ascii="宋体" w:hAnsi="宋体"/>
                <w:bCs/>
                <w:color w:val="auto"/>
                <w:sz w:val="24"/>
                <w:highlight w:val="none"/>
                <w:lang w:val="zh-CN"/>
              </w:rPr>
              <w:t>地址</w:t>
            </w:r>
          </w:p>
        </w:tc>
        <w:tc>
          <w:tcPr>
            <w:tcW w:w="2928" w:type="dxa"/>
            <w:noWrap w:val="0"/>
            <w:vAlign w:val="center"/>
          </w:tcPr>
          <w:p w14:paraId="6D580D42">
            <w:pPr>
              <w:spacing w:line="360" w:lineRule="auto"/>
              <w:jc w:val="center"/>
              <w:rPr>
                <w:rFonts w:hint="eastAsia" w:ascii="宋体" w:hAnsi="宋体"/>
                <w:bCs/>
                <w:color w:val="auto"/>
                <w:sz w:val="24"/>
                <w:highlight w:val="none"/>
                <w:lang w:val="zh-CN"/>
              </w:rPr>
            </w:pPr>
          </w:p>
        </w:tc>
        <w:tc>
          <w:tcPr>
            <w:tcW w:w="1252" w:type="dxa"/>
            <w:noWrap w:val="0"/>
            <w:vAlign w:val="center"/>
          </w:tcPr>
          <w:p w14:paraId="0E46A5B4">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0E369B69">
            <w:pPr>
              <w:spacing w:line="360" w:lineRule="auto"/>
              <w:jc w:val="center"/>
              <w:rPr>
                <w:rFonts w:hint="eastAsia" w:ascii="宋体" w:hAnsi="宋体"/>
                <w:bCs/>
                <w:color w:val="auto"/>
                <w:sz w:val="24"/>
                <w:highlight w:val="none"/>
                <w:lang w:val="zh-CN"/>
              </w:rPr>
            </w:pPr>
          </w:p>
        </w:tc>
      </w:tr>
      <w:tr w14:paraId="378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E1CD83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7500C1D3">
            <w:pPr>
              <w:spacing w:line="360" w:lineRule="auto"/>
              <w:jc w:val="center"/>
              <w:rPr>
                <w:rFonts w:hint="eastAsia" w:ascii="宋体" w:hAnsi="宋体"/>
                <w:bCs/>
                <w:color w:val="auto"/>
                <w:sz w:val="24"/>
                <w:highlight w:val="none"/>
                <w:lang w:val="zh-CN"/>
              </w:rPr>
            </w:pPr>
          </w:p>
        </w:tc>
        <w:tc>
          <w:tcPr>
            <w:tcW w:w="1252" w:type="dxa"/>
            <w:noWrap w:val="0"/>
            <w:vAlign w:val="center"/>
          </w:tcPr>
          <w:p w14:paraId="5BA1DB6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65EAAE5D">
            <w:pPr>
              <w:spacing w:line="360" w:lineRule="auto"/>
              <w:jc w:val="center"/>
              <w:rPr>
                <w:rFonts w:hint="eastAsia" w:ascii="宋体" w:hAnsi="宋体"/>
                <w:bCs/>
                <w:color w:val="auto"/>
                <w:sz w:val="24"/>
                <w:highlight w:val="none"/>
                <w:lang w:val="zh-CN"/>
              </w:rPr>
            </w:pPr>
          </w:p>
        </w:tc>
      </w:tr>
      <w:tr w14:paraId="1C3D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66CB05E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68215E03">
            <w:pPr>
              <w:spacing w:line="360" w:lineRule="auto"/>
              <w:jc w:val="center"/>
              <w:rPr>
                <w:rFonts w:hint="eastAsia" w:ascii="宋体" w:hAnsi="宋体"/>
                <w:bCs/>
                <w:color w:val="auto"/>
                <w:sz w:val="24"/>
                <w:highlight w:val="none"/>
                <w:lang w:val="zh-CN"/>
              </w:rPr>
            </w:pPr>
          </w:p>
        </w:tc>
        <w:tc>
          <w:tcPr>
            <w:tcW w:w="1252" w:type="dxa"/>
            <w:noWrap w:val="0"/>
            <w:vAlign w:val="center"/>
          </w:tcPr>
          <w:p w14:paraId="3ED241D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2E5809BE">
            <w:pPr>
              <w:spacing w:line="360" w:lineRule="auto"/>
              <w:jc w:val="center"/>
              <w:rPr>
                <w:rFonts w:hint="eastAsia" w:ascii="宋体" w:hAnsi="宋体"/>
                <w:bCs/>
                <w:color w:val="auto"/>
                <w:sz w:val="24"/>
                <w:highlight w:val="none"/>
                <w:lang w:val="zh-CN"/>
              </w:rPr>
            </w:pPr>
          </w:p>
        </w:tc>
      </w:tr>
      <w:tr w14:paraId="1757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DF1C59F">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429234DF">
            <w:pPr>
              <w:spacing w:line="360" w:lineRule="auto"/>
              <w:jc w:val="center"/>
              <w:rPr>
                <w:rFonts w:hint="eastAsia" w:ascii="宋体" w:hAnsi="宋体"/>
                <w:bCs/>
                <w:color w:val="auto"/>
                <w:sz w:val="24"/>
                <w:highlight w:val="none"/>
                <w:lang w:val="zh-CN"/>
              </w:rPr>
            </w:pPr>
          </w:p>
        </w:tc>
        <w:tc>
          <w:tcPr>
            <w:tcW w:w="1252" w:type="dxa"/>
            <w:noWrap w:val="0"/>
            <w:vAlign w:val="center"/>
          </w:tcPr>
          <w:p w14:paraId="3E56AF4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184449AA">
            <w:pPr>
              <w:spacing w:line="360" w:lineRule="auto"/>
              <w:jc w:val="center"/>
              <w:rPr>
                <w:rFonts w:hint="eastAsia" w:ascii="宋体" w:hAnsi="宋体"/>
                <w:bCs/>
                <w:color w:val="auto"/>
                <w:sz w:val="24"/>
                <w:highlight w:val="none"/>
                <w:lang w:val="zh-CN"/>
              </w:rPr>
            </w:pPr>
          </w:p>
        </w:tc>
      </w:tr>
      <w:tr w14:paraId="4D58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3C170D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096FA427">
            <w:pPr>
              <w:spacing w:line="360" w:lineRule="auto"/>
              <w:jc w:val="center"/>
              <w:rPr>
                <w:rFonts w:hint="eastAsia" w:ascii="宋体" w:hAnsi="宋体"/>
                <w:bCs/>
                <w:color w:val="auto"/>
                <w:sz w:val="24"/>
                <w:highlight w:val="none"/>
                <w:lang w:val="zh-CN"/>
              </w:rPr>
            </w:pPr>
          </w:p>
        </w:tc>
      </w:tr>
      <w:tr w14:paraId="34BE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4D081AA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6A261B94">
            <w:pPr>
              <w:spacing w:line="360" w:lineRule="auto"/>
              <w:jc w:val="center"/>
              <w:rPr>
                <w:rFonts w:hint="eastAsia" w:ascii="宋体" w:hAnsi="宋体"/>
                <w:bCs/>
                <w:color w:val="auto"/>
                <w:sz w:val="24"/>
                <w:highlight w:val="none"/>
                <w:lang w:val="zh-CN"/>
              </w:rPr>
            </w:pPr>
          </w:p>
        </w:tc>
        <w:tc>
          <w:tcPr>
            <w:tcW w:w="1252" w:type="dxa"/>
            <w:noWrap w:val="0"/>
            <w:vAlign w:val="center"/>
          </w:tcPr>
          <w:p w14:paraId="4CE1B60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ABA3D65">
            <w:pPr>
              <w:spacing w:line="360" w:lineRule="auto"/>
              <w:jc w:val="center"/>
              <w:rPr>
                <w:rFonts w:hint="eastAsia" w:ascii="宋体" w:hAnsi="宋体"/>
                <w:bCs/>
                <w:color w:val="auto"/>
                <w:sz w:val="24"/>
                <w:highlight w:val="none"/>
                <w:lang w:val="zh-CN"/>
              </w:rPr>
            </w:pPr>
          </w:p>
        </w:tc>
      </w:tr>
      <w:bookmarkEnd w:id="251"/>
      <w:bookmarkEnd w:id="252"/>
      <w:bookmarkEnd w:id="253"/>
    </w:tbl>
    <w:p w14:paraId="50B4A008">
      <w:pPr>
        <w:ind w:firstLine="480" w:firstLineChars="200"/>
        <w:rPr>
          <w:rFonts w:hint="eastAsia" w:ascii="黑体" w:hAnsi="宋体" w:eastAsia="黑体"/>
          <w:bCs/>
          <w:color w:val="auto"/>
          <w:sz w:val="24"/>
          <w:szCs w:val="24"/>
          <w:highlight w:val="none"/>
        </w:rPr>
      </w:pPr>
    </w:p>
    <w:p w14:paraId="3C317FF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628A733">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6572C2D">
      <w:pPr>
        <w:ind w:firstLine="480" w:firstLineChars="200"/>
        <w:rPr>
          <w:rFonts w:hint="eastAsia" w:ascii="黑体" w:hAnsi="宋体" w:eastAsia="黑体"/>
          <w:bCs/>
          <w:color w:val="auto"/>
          <w:sz w:val="24"/>
          <w:szCs w:val="24"/>
          <w:highlight w:val="none"/>
        </w:rPr>
      </w:pPr>
    </w:p>
    <w:bookmarkEnd w:id="249"/>
    <w:p w14:paraId="66A1437C">
      <w:pPr>
        <w:jc w:val="left"/>
        <w:rPr>
          <w:rFonts w:hint="eastAsia" w:ascii="黑体" w:hAnsi="宋体" w:eastAsia="黑体"/>
          <w:bCs/>
          <w:color w:val="auto"/>
          <w:sz w:val="24"/>
          <w:szCs w:val="24"/>
          <w:highlight w:val="none"/>
        </w:rPr>
      </w:pPr>
      <w:bookmarkStart w:id="254" w:name="OLE_LINK146"/>
      <w:bookmarkStart w:id="255"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54"/>
    </w:p>
    <w:p w14:paraId="2E81063A">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76652EC2">
      <w:pPr>
        <w:spacing w:before="156" w:beforeLines="50" w:after="156" w:afterLines="50"/>
        <w:jc w:val="center"/>
        <w:rPr>
          <w:rFonts w:hint="eastAsia" w:ascii="黑体" w:hAnsi="黑体" w:eastAsia="黑体"/>
          <w:color w:val="auto"/>
          <w:sz w:val="28"/>
          <w:szCs w:val="28"/>
          <w:highlight w:val="none"/>
        </w:rPr>
      </w:pPr>
      <w:bookmarkStart w:id="256" w:name="_Toc32423"/>
      <w:r>
        <w:rPr>
          <w:rFonts w:hint="eastAsia" w:ascii="黑体" w:eastAsia="黑体"/>
          <w:bCs/>
          <w:color w:val="auto"/>
          <w:sz w:val="28"/>
          <w:szCs w:val="28"/>
          <w:highlight w:val="none"/>
        </w:rPr>
        <w:t>开标一览表</w:t>
      </w:r>
      <w:bookmarkEnd w:id="256"/>
    </w:p>
    <w:p w14:paraId="5A2EE339">
      <w:pPr>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rPr>
        <w:t xml:space="preserve">投标人名称（盖章）：                </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单位：</w:t>
      </w:r>
      <w:r>
        <w:rPr>
          <w:rFonts w:hint="eastAsia" w:ascii="宋体" w:hAnsi="宋体" w:eastAsia="宋体" w:cs="Times New Roman"/>
          <w:color w:val="auto"/>
          <w:sz w:val="24"/>
          <w:szCs w:val="24"/>
          <w:highlight w:val="none"/>
          <w:lang w:val="en-US" w:eastAsia="zh-CN"/>
        </w:rPr>
        <w:t>元</w:t>
      </w:r>
      <w:r>
        <w:rPr>
          <w:rFonts w:hint="eastAsia" w:ascii="宋体" w:hAnsi="宋体"/>
          <w:color w:val="auto"/>
          <w:sz w:val="24"/>
          <w:szCs w:val="24"/>
          <w:highlight w:val="none"/>
        </w:rPr>
        <w:t xml:space="preserve">                     </w:t>
      </w:r>
    </w:p>
    <w:tbl>
      <w:tblPr>
        <w:tblStyle w:val="18"/>
        <w:tblW w:w="0" w:type="auto"/>
        <w:jc w:val="center"/>
        <w:tblLayout w:type="autofit"/>
        <w:tblCellMar>
          <w:top w:w="0" w:type="dxa"/>
          <w:left w:w="108" w:type="dxa"/>
          <w:bottom w:w="0" w:type="dxa"/>
          <w:right w:w="108" w:type="dxa"/>
        </w:tblCellMar>
      </w:tblPr>
      <w:tblGrid>
        <w:gridCol w:w="457"/>
        <w:gridCol w:w="2411"/>
        <w:gridCol w:w="1323"/>
        <w:gridCol w:w="1486"/>
        <w:gridCol w:w="1486"/>
        <w:gridCol w:w="1557"/>
      </w:tblGrid>
      <w:tr w14:paraId="7E5C21B7">
        <w:tblPrEx>
          <w:tblCellMar>
            <w:top w:w="0" w:type="dxa"/>
            <w:left w:w="108" w:type="dxa"/>
            <w:bottom w:w="0" w:type="dxa"/>
            <w:right w:w="108" w:type="dxa"/>
          </w:tblCellMar>
        </w:tblPrEx>
        <w:trPr>
          <w:trHeight w:val="499" w:hRule="atLeast"/>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3078A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4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1CE95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8DCE6E">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数量</w:t>
            </w: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B22D8E">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含税单价</w:t>
            </w: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BE057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不含税单价</w:t>
            </w:r>
          </w:p>
        </w:tc>
        <w:tc>
          <w:tcPr>
            <w:tcW w:w="1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15E33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增值税税额</w:t>
            </w:r>
          </w:p>
        </w:tc>
      </w:tr>
      <w:tr w14:paraId="0E566178">
        <w:tblPrEx>
          <w:tblCellMar>
            <w:top w:w="0" w:type="dxa"/>
            <w:left w:w="108" w:type="dxa"/>
            <w:bottom w:w="0" w:type="dxa"/>
            <w:right w:w="108" w:type="dxa"/>
          </w:tblCellMar>
        </w:tblPrEx>
        <w:trPr>
          <w:trHeight w:val="762" w:hRule="atLeast"/>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F84F33">
            <w:pPr>
              <w:tabs>
                <w:tab w:val="left" w:pos="945"/>
              </w:tabs>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24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3772B3">
            <w:pPr>
              <w:widowControl/>
              <w:jc w:val="center"/>
              <w:rPr>
                <w:rFonts w:ascii="宋体" w:hAnsi="宋体" w:eastAsia="宋体" w:cs="宋体"/>
                <w:kern w:val="0"/>
                <w:sz w:val="24"/>
                <w:szCs w:val="24"/>
              </w:rPr>
            </w:pPr>
            <w:r>
              <w:rPr>
                <w:rFonts w:hint="eastAsia" w:ascii="宋体" w:hAnsi="宋体" w:cs="宋体"/>
                <w:kern w:val="0"/>
                <w:sz w:val="24"/>
                <w:szCs w:val="24"/>
                <w:lang w:eastAsia="zh-CN"/>
              </w:rPr>
              <w:t>太湖内源污染治理(太湖西岸宜兴近岸区域)一期工程临时用地组卷报批服务</w:t>
            </w:r>
            <w:r>
              <w:rPr>
                <w:rFonts w:hint="eastAsia" w:ascii="宋体" w:hAnsi="宋体" w:eastAsia="宋体" w:cs="宋体"/>
                <w:kern w:val="0"/>
                <w:sz w:val="24"/>
                <w:szCs w:val="24"/>
                <w:lang w:eastAsia="zh-CN"/>
              </w:rPr>
              <w:t>项目</w:t>
            </w: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A872F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1项</w:t>
            </w: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705E69">
            <w:pPr>
              <w:widowControl/>
              <w:jc w:val="center"/>
              <w:rPr>
                <w:rFonts w:ascii="宋体" w:hAnsi="宋体" w:eastAsia="宋体" w:cs="宋体"/>
                <w:kern w:val="0"/>
                <w:sz w:val="24"/>
                <w:szCs w:val="24"/>
              </w:rPr>
            </w:pP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3EE5DA">
            <w:pPr>
              <w:widowControl/>
              <w:jc w:val="center"/>
              <w:rPr>
                <w:rFonts w:ascii="宋体" w:hAnsi="宋体" w:eastAsia="宋体" w:cs="宋体"/>
                <w:kern w:val="0"/>
                <w:sz w:val="24"/>
                <w:szCs w:val="24"/>
              </w:rPr>
            </w:pPr>
          </w:p>
        </w:tc>
        <w:tc>
          <w:tcPr>
            <w:tcW w:w="1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8FF81A">
            <w:pPr>
              <w:widowControl/>
              <w:jc w:val="center"/>
              <w:rPr>
                <w:rFonts w:ascii="宋体" w:hAnsi="宋体" w:eastAsia="宋体" w:cs="宋体"/>
                <w:kern w:val="0"/>
                <w:sz w:val="24"/>
                <w:szCs w:val="24"/>
              </w:rPr>
            </w:pPr>
          </w:p>
        </w:tc>
      </w:tr>
      <w:tr w14:paraId="265DA75C">
        <w:tblPrEx>
          <w:tblCellMar>
            <w:top w:w="0" w:type="dxa"/>
            <w:left w:w="108" w:type="dxa"/>
            <w:bottom w:w="0" w:type="dxa"/>
            <w:right w:w="108" w:type="dxa"/>
          </w:tblCellMar>
        </w:tblPrEx>
        <w:trPr>
          <w:trHeight w:val="853" w:hRule="atLeast"/>
          <w:jc w:val="center"/>
        </w:trPr>
        <w:tc>
          <w:tcPr>
            <w:tcW w:w="2868" w:type="dxa"/>
            <w:gridSpan w:val="2"/>
            <w:vMerge w:val="restart"/>
            <w:tcBorders>
              <w:top w:val="single" w:color="auto" w:sz="4" w:space="0"/>
              <w:left w:val="single" w:color="auto" w:sz="4" w:space="0"/>
              <w:right w:val="single" w:color="auto" w:sz="4" w:space="0"/>
            </w:tcBorders>
            <w:shd w:val="clear" w:color="000000" w:fill="FFFFFF"/>
            <w:noWrap w:val="0"/>
            <w:vAlign w:val="center"/>
          </w:tcPr>
          <w:p w14:paraId="5810CD1C">
            <w:pPr>
              <w:tabs>
                <w:tab w:val="left" w:pos="945"/>
              </w:tabs>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合 计(含税)</w:t>
            </w: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0D267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45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69CD8C">
            <w:pPr>
              <w:widowControl/>
              <w:jc w:val="center"/>
              <w:rPr>
                <w:rFonts w:ascii="宋体" w:hAnsi="宋体" w:eastAsia="宋体" w:cs="宋体"/>
                <w:kern w:val="0"/>
                <w:sz w:val="24"/>
                <w:szCs w:val="24"/>
              </w:rPr>
            </w:pPr>
          </w:p>
        </w:tc>
      </w:tr>
      <w:tr w14:paraId="1B3F183C">
        <w:tblPrEx>
          <w:tblCellMar>
            <w:top w:w="0" w:type="dxa"/>
            <w:left w:w="108" w:type="dxa"/>
            <w:bottom w:w="0" w:type="dxa"/>
            <w:right w:w="108" w:type="dxa"/>
          </w:tblCellMar>
        </w:tblPrEx>
        <w:trPr>
          <w:trHeight w:val="850" w:hRule="atLeast"/>
          <w:jc w:val="center"/>
        </w:trPr>
        <w:tc>
          <w:tcPr>
            <w:tcW w:w="2868" w:type="dxa"/>
            <w:gridSpan w:val="2"/>
            <w:vMerge w:val="continue"/>
            <w:tcBorders>
              <w:left w:val="single" w:color="auto" w:sz="4" w:space="0"/>
              <w:bottom w:val="single" w:color="auto" w:sz="4" w:space="0"/>
              <w:right w:val="single" w:color="auto" w:sz="4" w:space="0"/>
            </w:tcBorders>
            <w:shd w:val="clear" w:color="000000" w:fill="FFFFFF"/>
            <w:noWrap w:val="0"/>
            <w:vAlign w:val="center"/>
          </w:tcPr>
          <w:p w14:paraId="05649863">
            <w:pPr>
              <w:tabs>
                <w:tab w:val="left" w:pos="945"/>
              </w:tabs>
              <w:spacing w:line="360" w:lineRule="auto"/>
              <w:jc w:val="left"/>
              <w:rPr>
                <w:rFonts w:hint="eastAsia" w:ascii="宋体" w:hAnsi="宋体" w:eastAsia="宋体" w:cs="Times New Roman"/>
                <w:bCs/>
                <w:sz w:val="24"/>
                <w:szCs w:val="24"/>
              </w:rPr>
            </w:pP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D29C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大写</w:t>
            </w:r>
          </w:p>
        </w:tc>
        <w:tc>
          <w:tcPr>
            <w:tcW w:w="45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70A06B">
            <w:pPr>
              <w:widowControl/>
              <w:jc w:val="center"/>
              <w:rPr>
                <w:rFonts w:ascii="宋体" w:hAnsi="宋体" w:eastAsia="宋体" w:cs="宋体"/>
                <w:kern w:val="0"/>
                <w:sz w:val="24"/>
                <w:szCs w:val="24"/>
              </w:rPr>
            </w:pPr>
          </w:p>
        </w:tc>
      </w:tr>
    </w:tbl>
    <w:p w14:paraId="2ABCFAF8">
      <w:pPr>
        <w:ind w:left="1"/>
        <w:rPr>
          <w:rFonts w:hint="eastAsia" w:ascii="宋体" w:hAnsi="宋体"/>
          <w:color w:val="auto"/>
          <w:sz w:val="28"/>
          <w:szCs w:val="28"/>
          <w:highlight w:val="none"/>
        </w:rPr>
      </w:pPr>
    </w:p>
    <w:p w14:paraId="7AA1956D">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35EF130A">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41DA00E7">
      <w:pPr>
        <w:numPr>
          <w:ilvl w:val="0"/>
          <w:numId w:val="13"/>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43E73079">
      <w:pPr>
        <w:numPr>
          <w:ilvl w:val="0"/>
          <w:numId w:val="13"/>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257" w:name="OLE_LINK15"/>
      <w:r>
        <w:rPr>
          <w:rFonts w:hint="eastAsia" w:ascii="宋体" w:hAnsi="宋体"/>
          <w:color w:val="auto"/>
          <w:szCs w:val="21"/>
          <w:highlight w:val="none"/>
          <w:lang w:val="zh-CN"/>
        </w:rPr>
        <w:t>开标一览表</w:t>
      </w:r>
      <w:bookmarkEnd w:id="257"/>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bookmarkEnd w:id="255"/>
    <w:p w14:paraId="2B560945">
      <w:pPr>
        <w:pStyle w:val="8"/>
        <w:rPr>
          <w:rFonts w:hint="eastAsia"/>
          <w:color w:val="auto"/>
          <w:highlight w:val="none"/>
        </w:rPr>
      </w:pPr>
      <w:bookmarkStart w:id="258" w:name="OLE_LINK151"/>
    </w:p>
    <w:p w14:paraId="4D20CD1C">
      <w:pPr>
        <w:rPr>
          <w:rFonts w:hint="eastAsia" w:ascii="黑体" w:hAnsi="宋体" w:eastAsia="黑体"/>
          <w:bCs/>
          <w:color w:val="auto"/>
          <w:sz w:val="28"/>
          <w:szCs w:val="28"/>
          <w:highlight w:val="none"/>
        </w:rPr>
      </w:pPr>
      <w:r>
        <w:rPr>
          <w:rFonts w:hint="eastAsia" w:ascii="黑体" w:hAnsi="宋体" w:eastAsia="黑体"/>
          <w:bCs/>
          <w:color w:val="auto"/>
          <w:sz w:val="28"/>
          <w:szCs w:val="28"/>
          <w:highlight w:val="none"/>
        </w:rPr>
        <w:br w:type="page"/>
      </w:r>
    </w:p>
    <w:p w14:paraId="42C62A86">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258"/>
    </w:p>
    <w:p w14:paraId="444D40F1">
      <w:pPr>
        <w:ind w:firstLine="480" w:firstLineChars="200"/>
        <w:rPr>
          <w:rFonts w:ascii="黑体" w:eastAsia="黑体"/>
          <w:bCs/>
          <w:color w:val="auto"/>
          <w:sz w:val="36"/>
          <w:highlight w:val="none"/>
        </w:rPr>
      </w:pPr>
      <w:bookmarkStart w:id="259" w:name="_Toc8000"/>
      <w:r>
        <w:rPr>
          <w:rFonts w:hint="eastAsia" w:ascii="黑体" w:hAnsi="宋体" w:eastAsia="黑体"/>
          <w:bCs/>
          <w:color w:val="auto"/>
          <w:sz w:val="24"/>
          <w:szCs w:val="24"/>
          <w:highlight w:val="none"/>
        </w:rPr>
        <w:t>1、关于资格的声明函（格式）：</w:t>
      </w:r>
    </w:p>
    <w:p w14:paraId="521AAE34">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26AC4E0C">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30AECF94">
      <w:pPr>
        <w:spacing w:line="480" w:lineRule="auto"/>
        <w:jc w:val="center"/>
        <w:rPr>
          <w:rFonts w:ascii="宋体"/>
          <w:bCs/>
          <w:color w:val="auto"/>
          <w:sz w:val="24"/>
          <w:szCs w:val="24"/>
          <w:highlight w:val="none"/>
        </w:rPr>
      </w:pPr>
    </w:p>
    <w:p w14:paraId="6C464449">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rPr>
        <w:t>：</w:t>
      </w:r>
    </w:p>
    <w:p w14:paraId="178F1937">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w:t>
      </w:r>
      <w:r>
        <w:rPr>
          <w:rFonts w:hint="eastAsia" w:ascii="宋体" w:hAnsi="宋体"/>
          <w:bCs/>
          <w:color w:val="auto"/>
          <w:sz w:val="24"/>
          <w:szCs w:val="24"/>
          <w:highlight w:val="none"/>
          <w:lang w:eastAsia="zh-CN"/>
        </w:rPr>
        <w:t>太湖内源污染治理(太湖西岸宜兴近岸区域)一期工程临时用地组卷报批服务项目</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YXGYJT202508019</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260" w:name="OLE_LINK242"/>
      <w:r>
        <w:rPr>
          <w:rFonts w:hint="eastAsia" w:ascii="宋体" w:hAnsi="宋体"/>
          <w:bCs/>
          <w:color w:val="auto"/>
          <w:sz w:val="24"/>
          <w:szCs w:val="24"/>
          <w:highlight w:val="none"/>
        </w:rPr>
        <w:t>有效期限</w:t>
      </w:r>
      <w:bookmarkEnd w:id="260"/>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hAnsi="宋体"/>
          <w:bCs/>
          <w:color w:val="auto"/>
          <w:sz w:val="24"/>
          <w:szCs w:val="24"/>
          <w:highlight w:val="none"/>
          <w:lang w:val="en-US" w:eastAsia="zh-CN"/>
        </w:rPr>
        <w:t>YXGYJT202508019</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57B5A9D1">
      <w:pPr>
        <w:spacing w:line="480" w:lineRule="auto"/>
        <w:rPr>
          <w:rFonts w:ascii="宋体"/>
          <w:bCs/>
          <w:color w:val="auto"/>
          <w:sz w:val="24"/>
          <w:szCs w:val="24"/>
          <w:highlight w:val="none"/>
        </w:rPr>
      </w:pPr>
    </w:p>
    <w:p w14:paraId="255F9AED">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6B14CD7">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3B4689E0">
      <w:pPr>
        <w:spacing w:line="360" w:lineRule="auto"/>
        <w:jc w:val="center"/>
        <w:rPr>
          <w:rFonts w:hint="eastAsia" w:ascii="黑体" w:eastAsia="黑体"/>
          <w:bCs/>
          <w:color w:val="auto"/>
          <w:sz w:val="28"/>
          <w:szCs w:val="28"/>
          <w:highlight w:val="none"/>
        </w:rPr>
      </w:pPr>
    </w:p>
    <w:p w14:paraId="6664F2AF">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AC123A">
                            <w:pPr>
                              <w:jc w:val="left"/>
                              <w:rPr>
                                <w:rFonts w:hint="eastAsia" w:ascii="黑体" w:eastAsia="黑体"/>
                                <w:sz w:val="32"/>
                                <w:szCs w:val="32"/>
                              </w:rPr>
                            </w:pPr>
                          </w:p>
                          <w:p w14:paraId="7EB2BDCE">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F0580AD">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9s+2SAsCAAA3BAAADgAAAAAAAAAB&#10;ACAAAAAoAQAAZHJzL2Uyb0RvYy54bWxQSwUGAAAAAAYABgBZAQAApQUAAAAA&#10;">
                <v:fill on="t" focussize="0,0"/>
                <v:stroke color="#000000" joinstyle="miter"/>
                <v:imagedata o:title=""/>
                <o:lock v:ext="edit" aspectratio="f"/>
                <v:textbox>
                  <w:txbxContent>
                    <w:p w14:paraId="44AC123A">
                      <w:pPr>
                        <w:jc w:val="left"/>
                        <w:rPr>
                          <w:rFonts w:hint="eastAsia" w:ascii="黑体" w:eastAsia="黑体"/>
                          <w:sz w:val="32"/>
                          <w:szCs w:val="32"/>
                        </w:rPr>
                      </w:pPr>
                    </w:p>
                    <w:p w14:paraId="7EB2BDCE">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F0580AD">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46E97">
                            <w:pPr>
                              <w:jc w:val="left"/>
                              <w:rPr>
                                <w:rFonts w:hint="eastAsia" w:ascii="黑体" w:eastAsia="黑体"/>
                                <w:sz w:val="32"/>
                                <w:szCs w:val="32"/>
                              </w:rPr>
                            </w:pPr>
                          </w:p>
                          <w:p w14:paraId="6B827BFF">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4E702C9">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0FjRdgAAAAIAQAADwAAAAAAAAABACAAAAAi&#10;AAAAZHJzL2Rvd25yZXYueG1sUEsBAhQAFAAAAAgAh07iQIDkFkwKAgAANwQAAA4AAAAAAAAAAQAg&#10;AAAAJwEAAGRycy9lMm9Eb2MueG1sUEsFBgAAAAAGAAYAWQEAAKMFAAAAAA==&#10;">
                <v:fill on="t" focussize="0,0"/>
                <v:stroke color="#000000" joinstyle="miter"/>
                <v:imagedata o:title=""/>
                <o:lock v:ext="edit" aspectratio="f"/>
                <v:textbox>
                  <w:txbxContent>
                    <w:p w14:paraId="43946E97">
                      <w:pPr>
                        <w:jc w:val="left"/>
                        <w:rPr>
                          <w:rFonts w:hint="eastAsia" w:ascii="黑体" w:eastAsia="黑体"/>
                          <w:sz w:val="32"/>
                          <w:szCs w:val="32"/>
                        </w:rPr>
                      </w:pPr>
                    </w:p>
                    <w:p w14:paraId="6B827BFF">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4E702C9">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004CCF39">
      <w:pPr>
        <w:spacing w:line="360" w:lineRule="auto"/>
        <w:rPr>
          <w:rFonts w:hint="eastAsia" w:ascii="黑体" w:eastAsia="黑体"/>
          <w:bCs/>
          <w:color w:val="auto"/>
          <w:sz w:val="28"/>
          <w:szCs w:val="28"/>
          <w:highlight w:val="none"/>
        </w:rPr>
      </w:pPr>
    </w:p>
    <w:p w14:paraId="0833CECD">
      <w:pPr>
        <w:spacing w:line="360" w:lineRule="auto"/>
        <w:jc w:val="center"/>
        <w:rPr>
          <w:rFonts w:hint="eastAsia" w:ascii="黑体" w:eastAsia="黑体"/>
          <w:bCs/>
          <w:color w:val="auto"/>
          <w:sz w:val="28"/>
          <w:szCs w:val="28"/>
          <w:highlight w:val="none"/>
        </w:rPr>
      </w:pPr>
    </w:p>
    <w:p w14:paraId="6823D300">
      <w:pPr>
        <w:spacing w:line="360" w:lineRule="auto"/>
        <w:jc w:val="center"/>
        <w:rPr>
          <w:rFonts w:hint="eastAsia" w:ascii="黑体" w:eastAsia="黑体"/>
          <w:bCs/>
          <w:color w:val="auto"/>
          <w:sz w:val="28"/>
          <w:szCs w:val="28"/>
          <w:highlight w:val="none"/>
        </w:rPr>
      </w:pPr>
    </w:p>
    <w:p w14:paraId="29CD1979">
      <w:pPr>
        <w:spacing w:line="360" w:lineRule="auto"/>
        <w:jc w:val="center"/>
        <w:rPr>
          <w:rFonts w:hint="eastAsia" w:ascii="黑体" w:eastAsia="黑体"/>
          <w:bCs/>
          <w:color w:val="auto"/>
          <w:sz w:val="28"/>
          <w:szCs w:val="28"/>
          <w:highlight w:val="none"/>
        </w:rPr>
      </w:pPr>
    </w:p>
    <w:p w14:paraId="277DC23F">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0499C562">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5DB9C51A">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0E2671D5">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11DA3F14">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lang w:val="en-US" w:eastAsia="zh-CN"/>
        </w:rPr>
        <w:t>太湖内源污染治理(太湖西岸宜兴近岸区域)一期工程临时用地组卷报批服务项目</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YXGYJT202508019</w:t>
      </w:r>
      <w:r>
        <w:rPr>
          <w:rFonts w:hint="eastAsia" w:ascii="宋体" w:hAnsi="宋体"/>
          <w:color w:val="auto"/>
          <w:sz w:val="24"/>
          <w:szCs w:val="21"/>
          <w:highlight w:val="none"/>
          <w:lang w:val="zh-CN"/>
        </w:rPr>
        <w:t>）的投标、参与开标、谈判、签约等具体工作，并签署全部有关的文件、协议及合同。</w:t>
      </w:r>
    </w:p>
    <w:p w14:paraId="20F1AD0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0A16041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7AD364B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5E613C16">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5D2D4EE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49FB25A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3ECF554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0EFA0A9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1F7FC11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77A05B0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60255B44">
      <w:pPr>
        <w:spacing w:line="360" w:lineRule="auto"/>
        <w:rPr>
          <w:rFonts w:hint="eastAsia" w:ascii="黑体" w:eastAsia="黑体"/>
          <w:bCs/>
          <w:color w:val="auto"/>
          <w:sz w:val="28"/>
          <w:szCs w:val="28"/>
          <w:highlight w:val="none"/>
        </w:rPr>
      </w:pPr>
    </w:p>
    <w:p w14:paraId="4F63E86C">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26035</wp:posOffset>
                </wp:positionV>
                <wp:extent cx="3030220" cy="2018665"/>
                <wp:effectExtent l="4445" t="4445" r="13335" b="15240"/>
                <wp:wrapNone/>
                <wp:docPr id="4" name="文本框 4"/>
                <wp:cNvGraphicFramePr/>
                <a:graphic xmlns:a="http://schemas.openxmlformats.org/drawingml/2006/main">
                  <a:graphicData uri="http://schemas.microsoft.com/office/word/2010/wordprocessingShape">
                    <wps:wsp>
                      <wps:cNvSpPr txBox="1"/>
                      <wps:spPr>
                        <a:xfrm>
                          <a:off x="0" y="0"/>
                          <a:ext cx="3030220" cy="2018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16481">
                            <w:pPr>
                              <w:jc w:val="left"/>
                              <w:rPr>
                                <w:rFonts w:hint="eastAsia" w:ascii="黑体" w:eastAsia="黑体"/>
                                <w:sz w:val="32"/>
                                <w:szCs w:val="32"/>
                              </w:rPr>
                            </w:pPr>
                          </w:p>
                          <w:p w14:paraId="4832CEE6">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6AE5D7">
                            <w:pPr>
                              <w:jc w:val="center"/>
                              <w:rPr>
                                <w:rFonts w:hint="eastAsia" w:ascii="楷体_GB2312" w:eastAsia="楷体_GB2312"/>
                                <w:sz w:val="28"/>
                                <w:szCs w:val="28"/>
                              </w:rPr>
                            </w:pPr>
                            <w:r>
                              <w:rPr>
                                <w:rFonts w:hint="eastAsia" w:ascii="楷体_GB2312" w:eastAsia="楷体_GB2312"/>
                                <w:sz w:val="28"/>
                                <w:szCs w:val="28"/>
                              </w:rPr>
                              <w:t>反面</w:t>
                            </w:r>
                          </w:p>
                          <w:p w14:paraId="26BA9E60">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38.4pt;margin-top:2.05pt;height:158.95pt;width:238.6pt;z-index:251662336;mso-width-relative:page;mso-height-relative:page;" fillcolor="#FFFFFF" filled="t" stroked="t" coordsize="21600,21600" o:gfxdata="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LZAfvZAAAACQEAAA8AAAAAAAAAAQAgAAAA&#10;IgAAAGRycy9kb3ducmV2LnhtbFBLAQIUABQAAAAIAIdO4kAxIx9wCgIAADcEAAAOAAAAAAAAAAEA&#10;IAAAACgBAABkcnMvZTJvRG9jLnhtbFBLBQYAAAAABgAGAFkBAACkBQAAAAA=&#10;">
                <v:fill on="t" focussize="0,0"/>
                <v:stroke color="#000000" joinstyle="miter"/>
                <v:imagedata o:title=""/>
                <o:lock v:ext="edit" aspectratio="f"/>
                <v:textbox>
                  <w:txbxContent>
                    <w:p w14:paraId="22B16481">
                      <w:pPr>
                        <w:jc w:val="left"/>
                        <w:rPr>
                          <w:rFonts w:hint="eastAsia" w:ascii="黑体" w:eastAsia="黑体"/>
                          <w:sz w:val="32"/>
                          <w:szCs w:val="32"/>
                        </w:rPr>
                      </w:pPr>
                    </w:p>
                    <w:p w14:paraId="4832CEE6">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6AE5D7">
                      <w:pPr>
                        <w:jc w:val="center"/>
                        <w:rPr>
                          <w:rFonts w:hint="eastAsia" w:ascii="楷体_GB2312" w:eastAsia="楷体_GB2312"/>
                          <w:sz w:val="28"/>
                          <w:szCs w:val="28"/>
                        </w:rPr>
                      </w:pPr>
                      <w:r>
                        <w:rPr>
                          <w:rFonts w:hint="eastAsia" w:ascii="楷体_GB2312" w:eastAsia="楷体_GB2312"/>
                          <w:sz w:val="28"/>
                          <w:szCs w:val="28"/>
                        </w:rPr>
                        <w:t>反面</w:t>
                      </w:r>
                    </w:p>
                    <w:p w14:paraId="26BA9E60">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12110" cy="2018665"/>
                <wp:effectExtent l="5080" t="5080" r="16510" b="14605"/>
                <wp:wrapNone/>
                <wp:docPr id="2" name="文本框 2"/>
                <wp:cNvGraphicFramePr/>
                <a:graphic xmlns:a="http://schemas.openxmlformats.org/drawingml/2006/main">
                  <a:graphicData uri="http://schemas.microsoft.com/office/word/2010/wordprocessingShape">
                    <wps:wsp>
                      <wps:cNvSpPr txBox="1"/>
                      <wps:spPr>
                        <a:xfrm>
                          <a:off x="0" y="0"/>
                          <a:ext cx="2912110" cy="2018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901C2">
                            <w:pPr>
                              <w:jc w:val="left"/>
                              <w:rPr>
                                <w:rFonts w:hint="eastAsia" w:ascii="黑体" w:eastAsia="黑体"/>
                                <w:sz w:val="32"/>
                                <w:szCs w:val="32"/>
                              </w:rPr>
                            </w:pPr>
                          </w:p>
                          <w:p w14:paraId="37DAD90C">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BACF467">
                            <w:pPr>
                              <w:jc w:val="center"/>
                              <w:rPr>
                                <w:rFonts w:hint="eastAsia" w:ascii="楷体_GB2312" w:eastAsia="楷体_GB2312"/>
                                <w:sz w:val="28"/>
                                <w:szCs w:val="28"/>
                              </w:rPr>
                            </w:pPr>
                            <w:r>
                              <w:rPr>
                                <w:rFonts w:hint="eastAsia" w:ascii="楷体_GB2312" w:eastAsia="楷体_GB2312"/>
                                <w:sz w:val="28"/>
                                <w:szCs w:val="28"/>
                              </w:rPr>
                              <w:t>正面</w:t>
                            </w:r>
                          </w:p>
                          <w:p w14:paraId="3C841C5A">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58.95pt;width:229.3pt;z-index:251661312;mso-width-relative:page;mso-height-relative:page;" fillcolor="#FFFFFF" filled="t" stroked="t" coordsize="21600,21600" o:gfxdata="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PxucNgAAAAIAQAADwAAAAAAAAABACAAAAAi&#10;AAAAZHJzL2Rvd25yZXYueG1sUEsBAhQAFAAAAAgAh07iQK8KEXAKAgAANwQAAA4AAAAAAAAAAQAg&#10;AAAAJwEAAGRycy9lMm9Eb2MueG1sUEsFBgAAAAAGAAYAWQEAAKMFAAAAAA==&#10;">
                <v:fill on="t" focussize="0,0"/>
                <v:stroke color="#000000" joinstyle="miter"/>
                <v:imagedata o:title=""/>
                <o:lock v:ext="edit" aspectratio="f"/>
                <v:textbox>
                  <w:txbxContent>
                    <w:p w14:paraId="307901C2">
                      <w:pPr>
                        <w:jc w:val="left"/>
                        <w:rPr>
                          <w:rFonts w:hint="eastAsia" w:ascii="黑体" w:eastAsia="黑体"/>
                          <w:sz w:val="32"/>
                          <w:szCs w:val="32"/>
                        </w:rPr>
                      </w:pPr>
                    </w:p>
                    <w:p w14:paraId="37DAD90C">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BACF467">
                      <w:pPr>
                        <w:jc w:val="center"/>
                        <w:rPr>
                          <w:rFonts w:hint="eastAsia" w:ascii="楷体_GB2312" w:eastAsia="楷体_GB2312"/>
                          <w:sz w:val="28"/>
                          <w:szCs w:val="28"/>
                        </w:rPr>
                      </w:pPr>
                      <w:r>
                        <w:rPr>
                          <w:rFonts w:hint="eastAsia" w:ascii="楷体_GB2312" w:eastAsia="楷体_GB2312"/>
                          <w:sz w:val="28"/>
                          <w:szCs w:val="28"/>
                        </w:rPr>
                        <w:t>正面</w:t>
                      </w:r>
                    </w:p>
                    <w:p w14:paraId="3C841C5A">
                      <w:pPr>
                        <w:jc w:val="center"/>
                        <w:rPr>
                          <w:rFonts w:hint="eastAsia" w:ascii="楷体_GB2312" w:eastAsia="楷体_GB2312"/>
                          <w:sz w:val="28"/>
                          <w:szCs w:val="28"/>
                        </w:rPr>
                      </w:pPr>
                    </w:p>
                  </w:txbxContent>
                </v:textbox>
              </v:shape>
            </w:pict>
          </mc:Fallback>
        </mc:AlternateContent>
      </w:r>
    </w:p>
    <w:p w14:paraId="65702E92">
      <w:pPr>
        <w:spacing w:line="360" w:lineRule="auto"/>
        <w:rPr>
          <w:rFonts w:hint="eastAsia" w:ascii="黑体" w:eastAsia="黑体"/>
          <w:bCs/>
          <w:color w:val="auto"/>
          <w:sz w:val="28"/>
          <w:szCs w:val="28"/>
          <w:highlight w:val="none"/>
        </w:rPr>
      </w:pPr>
    </w:p>
    <w:p w14:paraId="11106F6C">
      <w:pPr>
        <w:spacing w:line="360" w:lineRule="auto"/>
        <w:jc w:val="center"/>
        <w:rPr>
          <w:rFonts w:hint="eastAsia" w:ascii="黑体" w:eastAsia="黑体"/>
          <w:bCs/>
          <w:color w:val="auto"/>
          <w:sz w:val="28"/>
          <w:szCs w:val="28"/>
          <w:highlight w:val="none"/>
        </w:rPr>
      </w:pPr>
    </w:p>
    <w:p w14:paraId="5CFE85F2">
      <w:pPr>
        <w:spacing w:line="360" w:lineRule="auto"/>
        <w:jc w:val="center"/>
        <w:rPr>
          <w:rFonts w:hint="eastAsia" w:ascii="黑体" w:eastAsia="黑体"/>
          <w:bCs/>
          <w:color w:val="auto"/>
          <w:sz w:val="28"/>
          <w:szCs w:val="28"/>
          <w:highlight w:val="none"/>
        </w:rPr>
      </w:pPr>
    </w:p>
    <w:p w14:paraId="5D1DFAFE">
      <w:pPr>
        <w:spacing w:line="360" w:lineRule="auto"/>
        <w:ind w:firstLine="480" w:firstLineChars="200"/>
        <w:rPr>
          <w:rFonts w:hint="eastAsia" w:ascii="黑体" w:hAnsi="宋体" w:eastAsia="黑体"/>
          <w:bCs/>
          <w:color w:val="auto"/>
          <w:sz w:val="24"/>
          <w:szCs w:val="24"/>
          <w:highlight w:val="none"/>
        </w:rPr>
      </w:pPr>
    </w:p>
    <w:p w14:paraId="6B6F2178">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14:paraId="3845E3A1">
      <w:pPr>
        <w:rPr>
          <w:rFonts w:hint="eastAsia" w:ascii="黑体" w:hAnsi="宋体" w:eastAsia="黑体" w:cs="Times New Roman"/>
          <w:bCs/>
          <w:color w:val="auto"/>
          <w:sz w:val="24"/>
          <w:szCs w:val="24"/>
          <w:highlight w:val="none"/>
          <w:lang w:val="en-US" w:eastAsia="zh-CN"/>
        </w:rPr>
      </w:pPr>
      <w:r>
        <w:rPr>
          <w:rFonts w:hint="eastAsia" w:ascii="黑体" w:hAnsi="宋体" w:eastAsia="黑体" w:cs="Times New Roman"/>
          <w:bCs/>
          <w:color w:val="auto"/>
          <w:sz w:val="24"/>
          <w:szCs w:val="24"/>
          <w:highlight w:val="none"/>
          <w:lang w:val="en-US" w:eastAsia="zh-CN"/>
        </w:rPr>
        <w:br w:type="page"/>
      </w:r>
    </w:p>
    <w:p w14:paraId="03368824">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lang w:val="en-US" w:eastAsia="zh-CN"/>
        </w:rPr>
        <w:t>3、</w:t>
      </w:r>
      <w:r>
        <w:rPr>
          <w:rFonts w:hint="eastAsia" w:ascii="黑体" w:hAnsi="宋体" w:eastAsia="黑体" w:cs="Times New Roman"/>
          <w:bCs/>
          <w:color w:val="auto"/>
          <w:sz w:val="24"/>
          <w:szCs w:val="24"/>
          <w:highlight w:val="none"/>
        </w:rPr>
        <w:t xml:space="preserve">资格性证明材料                                   </w:t>
      </w:r>
      <w:r>
        <w:rPr>
          <w:rFonts w:hint="eastAsia" w:ascii="黑体" w:hAnsi="宋体" w:eastAsia="黑体" w:cs="Times New Roman"/>
          <w:bCs/>
          <w:color w:val="auto"/>
          <w:sz w:val="24"/>
          <w:szCs w:val="24"/>
          <w:highlight w:val="none"/>
          <w:lang w:eastAsia="zh-CN"/>
        </w:rPr>
        <w:t xml:space="preserve"> </w:t>
      </w:r>
      <w:r>
        <w:rPr>
          <w:rFonts w:hint="eastAsia" w:ascii="黑体" w:hAnsi="宋体" w:eastAsia="黑体" w:cs="Times New Roman"/>
          <w:bCs/>
          <w:color w:val="auto"/>
          <w:sz w:val="24"/>
          <w:szCs w:val="24"/>
          <w:highlight w:val="none"/>
        </w:rPr>
        <w:t xml:space="preserve">           </w:t>
      </w:r>
    </w:p>
    <w:p w14:paraId="644918D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14:paraId="78AA69AA">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3.1</w:t>
      </w:r>
      <w:r>
        <w:rPr>
          <w:rFonts w:hint="eastAsia" w:ascii="宋体" w:hAnsi="宋体"/>
          <w:bCs/>
          <w:color w:val="auto"/>
          <w:sz w:val="24"/>
          <w:szCs w:val="24"/>
          <w:highlight w:val="none"/>
        </w:rPr>
        <w:t>关于资格的声明函（附法定代表人身份证复印件）（格式见附件）；</w:t>
      </w:r>
    </w:p>
    <w:p w14:paraId="1B436677">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3.2投标人</w:t>
      </w:r>
      <w:r>
        <w:rPr>
          <w:rFonts w:hint="eastAsia" w:ascii="宋体" w:hAnsi="宋体"/>
          <w:bCs/>
          <w:color w:val="auto"/>
          <w:sz w:val="24"/>
          <w:szCs w:val="24"/>
          <w:highlight w:val="none"/>
        </w:rPr>
        <w:t>法定代表人授权委托书及被授权代表的身份证复印件（格式见附件，法定代表人亲自参加投标的除外）；（开标时提供身份证原件）</w:t>
      </w:r>
    </w:p>
    <w:p w14:paraId="08839893">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3.3</w:t>
      </w:r>
      <w:r>
        <w:rPr>
          <w:rFonts w:hint="eastAsia" w:ascii="宋体" w:hAnsi="宋体"/>
          <w:bCs/>
          <w:color w:val="auto"/>
          <w:sz w:val="24"/>
          <w:szCs w:val="24"/>
          <w:highlight w:val="none"/>
          <w:lang w:val="zh-CN"/>
        </w:rPr>
        <w:t>具有独立承担民事责任的能力：投标人为法人或其他组织的提供营业执照或法人（登记）证书复印件，投标人为自然人的提供自然人身份证复印件；</w:t>
      </w:r>
      <w:r>
        <w:rPr>
          <w:rFonts w:hint="eastAsia" w:ascii="宋体" w:hAnsi="宋体"/>
          <w:bCs/>
          <w:color w:val="auto"/>
          <w:sz w:val="24"/>
          <w:szCs w:val="24"/>
          <w:highlight w:val="none"/>
        </w:rPr>
        <w:t xml:space="preserve"> （开标时提供原件或公证件）</w:t>
      </w:r>
    </w:p>
    <w:p w14:paraId="5D87064D">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3.4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416A8EB2">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rPr>
        <w:t>投标人依法缴纳近十二个月中任意一个月份税收的相关材料（提供相关主管部门证明或银行代扣证明）复印件；</w:t>
      </w:r>
    </w:p>
    <w:p w14:paraId="3280B932">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3.6</w:t>
      </w:r>
      <w:r>
        <w:rPr>
          <w:rFonts w:hint="eastAsia" w:ascii="宋体" w:hAnsi="宋体"/>
          <w:bCs/>
          <w:color w:val="auto"/>
          <w:sz w:val="24"/>
          <w:szCs w:val="24"/>
          <w:highlight w:val="none"/>
        </w:rPr>
        <w:t>投标人依法缴纳近十二个月中任意一个月份社会保障资金的相关材料（提供相关主管部门证明或银行代扣证明）复印件；</w:t>
      </w:r>
    </w:p>
    <w:p w14:paraId="54FEE7B3">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3.7</w:t>
      </w:r>
      <w:r>
        <w:rPr>
          <w:rFonts w:hint="eastAsia" w:ascii="宋体" w:hAnsi="宋体"/>
          <w:bCs/>
          <w:color w:val="auto"/>
          <w:sz w:val="24"/>
          <w:szCs w:val="24"/>
          <w:highlight w:val="none"/>
        </w:rPr>
        <w:t>投标保证金交纳证明复印件（银行转账记录）；</w:t>
      </w:r>
    </w:p>
    <w:p w14:paraId="4CDF3309">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3.8</w:t>
      </w:r>
      <w:r>
        <w:rPr>
          <w:rFonts w:hint="eastAsia" w:ascii="宋体" w:hAnsi="宋体"/>
          <w:bCs/>
          <w:color w:val="auto"/>
          <w:sz w:val="24"/>
          <w:szCs w:val="24"/>
          <w:highlight w:val="none"/>
        </w:rPr>
        <w:t>投标人为本项目被授权代表在近三个月内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不含投标当月</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任意一个月缴纳的社保证明复印件（提供相关主管部门证明或银行代扣证明，法定代表人亲自参加报价的除外）；</w:t>
      </w:r>
    </w:p>
    <w:p w14:paraId="1E4CBF8C">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3.9良好的</w:t>
      </w:r>
      <w:r>
        <w:rPr>
          <w:rFonts w:hint="eastAsia" w:ascii="宋体" w:hAnsi="宋体"/>
          <w:bCs/>
          <w:color w:val="auto"/>
          <w:sz w:val="24"/>
          <w:szCs w:val="24"/>
          <w:highlight w:val="none"/>
        </w:rPr>
        <w:t>信用记录：未被“信用中国”网站（www.creditchina.gov.cn）列入失信</w:t>
      </w:r>
      <w:r>
        <w:rPr>
          <w:rFonts w:hint="eastAsia" w:ascii="宋体" w:hAnsi="宋体"/>
          <w:bCs/>
          <w:color w:val="auto"/>
          <w:sz w:val="24"/>
          <w:szCs w:val="24"/>
          <w:highlight w:val="none"/>
          <w:lang w:val="en-US" w:eastAsia="zh-CN"/>
        </w:rPr>
        <w:t>被</w:t>
      </w:r>
      <w:r>
        <w:rPr>
          <w:rFonts w:hint="eastAsia" w:ascii="宋体" w:hAnsi="宋体"/>
          <w:bCs/>
          <w:color w:val="auto"/>
          <w:sz w:val="24"/>
          <w:szCs w:val="24"/>
          <w:highlight w:val="none"/>
        </w:rPr>
        <w:t>执行人、重大税收违法案件当事人名单、政府采购严重违法失信名单，或未在“中国政府采购网”网站（www.ccgp.gov.cn）被列入政府采购严重违法失信行为记录名单；（若投标人企业信息已录入以上网站的，无需提供相关证明材料；若投标人企业信息未录入以上网站的，须在投标文件中提供无不良信用记录承诺书）</w:t>
      </w:r>
    </w:p>
    <w:p w14:paraId="2D0553BB">
      <w:pPr>
        <w:keepNext w:val="0"/>
        <w:keepLines w:val="0"/>
        <w:pageBreakBefore w:val="0"/>
        <w:widowControl w:val="0"/>
        <w:tabs>
          <w:tab w:val="left" w:pos="0"/>
          <w:tab w:val="left" w:pos="255"/>
        </w:tabs>
        <w:kinsoku/>
        <w:wordWrap/>
        <w:overflowPunct/>
        <w:topLinePunct w:val="0"/>
        <w:autoSpaceDE/>
        <w:autoSpaceDN/>
        <w:bidi w:val="0"/>
        <w:adjustRightInd/>
        <w:snapToGrid w:val="0"/>
        <w:spacing w:line="312"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val="en-US" w:eastAsia="zh-CN"/>
        </w:rPr>
        <w:t>以上“近十二个月”是指</w:t>
      </w:r>
      <w:r>
        <w:rPr>
          <w:rFonts w:hint="eastAsia" w:ascii="宋体" w:hAnsi="宋体"/>
          <w:color w:val="auto"/>
          <w:sz w:val="24"/>
          <w:szCs w:val="24"/>
          <w:highlight w:val="none"/>
          <w:lang w:val="zh-CN" w:eastAsia="zh-CN"/>
        </w:rPr>
        <w:t>提交</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lang w:val="zh-CN" w:eastAsia="zh-CN"/>
        </w:rPr>
        <w:t>文件截止</w:t>
      </w:r>
      <w:r>
        <w:rPr>
          <w:rFonts w:hint="eastAsia" w:ascii="宋体" w:hAnsi="宋体"/>
          <w:color w:val="auto"/>
          <w:sz w:val="24"/>
          <w:szCs w:val="24"/>
          <w:highlight w:val="none"/>
          <w:lang w:val="en-US" w:eastAsia="zh-CN"/>
        </w:rPr>
        <w:t>日之前近十二个月（不含报价当月）</w:t>
      </w:r>
      <w:r>
        <w:rPr>
          <w:rFonts w:hint="eastAsia" w:ascii="宋体" w:hAnsi="宋体"/>
          <w:color w:val="auto"/>
          <w:sz w:val="24"/>
          <w:szCs w:val="24"/>
          <w:highlight w:val="none"/>
        </w:rPr>
        <w:t>。</w:t>
      </w:r>
    </w:p>
    <w:p w14:paraId="48D47E25">
      <w:pPr>
        <w:keepNext w:val="0"/>
        <w:keepLines w:val="0"/>
        <w:pageBreakBefore w:val="0"/>
        <w:widowControl w:val="0"/>
        <w:tabs>
          <w:tab w:val="left" w:pos="0"/>
          <w:tab w:val="left" w:pos="255"/>
        </w:tabs>
        <w:kinsoku/>
        <w:wordWrap/>
        <w:overflowPunct/>
        <w:topLinePunct w:val="0"/>
        <w:autoSpaceDE/>
        <w:autoSpaceDN/>
        <w:bidi w:val="0"/>
        <w:adjustRightInd/>
        <w:snapToGrid w:val="0"/>
        <w:spacing w:line="312" w:lineRule="auto"/>
        <w:ind w:firstLine="480" w:firstLineChars="200"/>
        <w:textAlignment w:val="auto"/>
        <w:rPr>
          <w:rFonts w:hint="eastAsia" w:ascii="宋体" w:hAnsi="宋体"/>
          <w:color w:val="auto"/>
          <w:sz w:val="24"/>
          <w:szCs w:val="24"/>
          <w:highlight w:val="yellow"/>
        </w:rPr>
      </w:pPr>
    </w:p>
    <w:p w14:paraId="6DE97B22">
      <w:pPr>
        <w:keepNext w:val="0"/>
        <w:keepLines w:val="0"/>
        <w:pageBreakBefore w:val="0"/>
        <w:widowControl w:val="0"/>
        <w:tabs>
          <w:tab w:val="left" w:pos="0"/>
          <w:tab w:val="left" w:pos="255"/>
        </w:tabs>
        <w:kinsoku/>
        <w:wordWrap/>
        <w:overflowPunct/>
        <w:topLinePunct w:val="0"/>
        <w:autoSpaceDE/>
        <w:autoSpaceDN/>
        <w:bidi w:val="0"/>
        <w:adjustRightInd/>
        <w:snapToGrid w:val="0"/>
        <w:spacing w:line="312" w:lineRule="auto"/>
        <w:ind w:firstLine="480" w:firstLineChars="200"/>
        <w:textAlignment w:val="auto"/>
        <w:rPr>
          <w:rFonts w:hint="eastAsia" w:ascii="宋体" w:hAnsi="宋体"/>
          <w:color w:val="auto"/>
          <w:sz w:val="24"/>
          <w:szCs w:val="24"/>
          <w:highlight w:val="none"/>
        </w:rPr>
      </w:pPr>
    </w:p>
    <w:p w14:paraId="78A29FF6">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3884D12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p w14:paraId="1991D89C">
      <w:pPr>
        <w:spacing w:line="360" w:lineRule="auto"/>
        <w:ind w:firstLine="480" w:firstLineChars="200"/>
        <w:rPr>
          <w:rFonts w:hint="eastAsia" w:ascii="黑体" w:hAnsi="宋体" w:eastAsia="黑体"/>
          <w:bCs/>
          <w:color w:val="auto"/>
          <w:sz w:val="24"/>
          <w:szCs w:val="24"/>
          <w:highlight w:val="none"/>
        </w:rPr>
      </w:pPr>
    </w:p>
    <w:p w14:paraId="72A07B28">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bookmarkEnd w:id="259"/>
    <w:p w14:paraId="126DF90A">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rPr>
        <w:t>（四）</w:t>
      </w:r>
      <w:r>
        <w:rPr>
          <w:rFonts w:hint="eastAsia" w:ascii="黑体" w:hAnsi="宋体" w:eastAsia="黑体" w:cs="Times New Roman"/>
          <w:bCs/>
          <w:color w:val="auto"/>
          <w:sz w:val="28"/>
          <w:szCs w:val="28"/>
          <w:highlight w:val="none"/>
          <w:lang w:val="zh-CN"/>
        </w:rPr>
        <w:t>技术条款及相关要求偏离表</w:t>
      </w:r>
      <w:r>
        <w:rPr>
          <w:rFonts w:hint="eastAsia" w:ascii="黑体" w:hAnsi="宋体" w:eastAsia="黑体" w:cs="Times New Roman"/>
          <w:bCs/>
          <w:color w:val="auto"/>
          <w:sz w:val="28"/>
          <w:szCs w:val="28"/>
          <w:highlight w:val="none"/>
        </w:rPr>
        <w:t>（格式）：</w:t>
      </w:r>
    </w:p>
    <w:p w14:paraId="7C82CF12">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技术条款及相关要求偏离表</w:t>
      </w:r>
    </w:p>
    <w:p w14:paraId="77A2560F">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投标人名称（盖章）：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AF3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858A28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0C2ECAFA">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0C3626DE">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13FBC4C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367D4184">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5B29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40AF6F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5A4FBE9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8158DF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56BB46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7C70C6F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36F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9E9F3A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08EE8BB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845C87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0EF0B1C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2615016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6D53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C5B60C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2B70D2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E4E43A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281C10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88D9A5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F84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C7A41F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694CBC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16CDDF4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689671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3D81B6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115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169E9E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7448E74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352E298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F2FA42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5A53062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3843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40B225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4ED81C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39ACADB">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FF0B42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45E5807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13E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DDFFDC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7E70309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17AEC5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33D8354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5348A20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59CE1678">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64B7206A">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4399EE9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0DFCDF7A">
      <w:pPr>
        <w:tabs>
          <w:tab w:val="left" w:pos="255"/>
        </w:tabs>
        <w:spacing w:line="360" w:lineRule="auto"/>
        <w:jc w:val="left"/>
        <w:rPr>
          <w:rFonts w:hint="eastAsia" w:ascii="黑体" w:hAnsi="宋体" w:eastAsia="黑体"/>
          <w:bCs/>
          <w:color w:val="auto"/>
          <w:sz w:val="24"/>
          <w:szCs w:val="24"/>
          <w:highlight w:val="none"/>
          <w:lang w:val="zh-CN"/>
        </w:rPr>
      </w:pPr>
    </w:p>
    <w:p w14:paraId="2C2EAF6A">
      <w:pPr>
        <w:tabs>
          <w:tab w:val="left" w:pos="255"/>
        </w:tabs>
        <w:spacing w:line="360" w:lineRule="auto"/>
        <w:jc w:val="left"/>
        <w:rPr>
          <w:rFonts w:hint="eastAsia" w:ascii="黑体" w:hAnsi="宋体" w:eastAsia="黑体"/>
          <w:bCs/>
          <w:color w:val="auto"/>
          <w:sz w:val="24"/>
          <w:szCs w:val="24"/>
          <w:highlight w:val="none"/>
          <w:lang w:val="zh-CN"/>
        </w:rPr>
      </w:pPr>
    </w:p>
    <w:p w14:paraId="2731CC7E">
      <w:pPr>
        <w:tabs>
          <w:tab w:val="left" w:pos="255"/>
        </w:tabs>
        <w:spacing w:line="360" w:lineRule="auto"/>
        <w:jc w:val="left"/>
        <w:rPr>
          <w:rFonts w:hint="eastAsia" w:ascii="黑体" w:hAnsi="宋体" w:eastAsia="黑体"/>
          <w:bCs/>
          <w:color w:val="auto"/>
          <w:sz w:val="24"/>
          <w:szCs w:val="24"/>
          <w:highlight w:val="none"/>
          <w:lang w:val="zh-CN"/>
        </w:rPr>
      </w:pPr>
    </w:p>
    <w:p w14:paraId="05E75C54">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rPr>
        <w:t>五</w:t>
      </w: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rPr>
        <w:t>技术商务部分评分导读表（格式）</w:t>
      </w:r>
    </w:p>
    <w:p w14:paraId="691A3934">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3F1CA1A1">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s="Times New Roman"/>
          <w:bCs/>
          <w:color w:val="auto"/>
          <w:sz w:val="24"/>
          <w:szCs w:val="24"/>
          <w:highlight w:val="none"/>
          <w:lang w:eastAsia="zh-CN"/>
        </w:rPr>
        <w:t>太湖内源污染治理(太湖西岸宜兴近岸区域)一期工程临时用地组卷报批服务项目</w:t>
      </w:r>
      <w:r>
        <w:rPr>
          <w:rFonts w:hint="eastAsia" w:ascii="宋体" w:hAnsi="宋体"/>
          <w:color w:val="auto"/>
          <w:sz w:val="24"/>
          <w:szCs w:val="24"/>
          <w:highlight w:val="none"/>
        </w:rPr>
        <w:t xml:space="preserve">                                     </w:t>
      </w:r>
    </w:p>
    <w:p w14:paraId="439FCA71">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YXGYJT202508019</w:t>
      </w:r>
    </w:p>
    <w:tbl>
      <w:tblPr>
        <w:tblStyle w:val="1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60"/>
        <w:gridCol w:w="3490"/>
        <w:gridCol w:w="2100"/>
        <w:gridCol w:w="1255"/>
      </w:tblGrid>
      <w:tr w14:paraId="5314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299606">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right w:val="single" w:color="auto" w:sz="4" w:space="0"/>
            </w:tcBorders>
            <w:noWrap w:val="0"/>
            <w:vAlign w:val="center"/>
          </w:tcPr>
          <w:p w14:paraId="411B2E72">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3490" w:type="dxa"/>
            <w:tcBorders>
              <w:top w:val="single" w:color="auto" w:sz="4" w:space="0"/>
              <w:left w:val="single" w:color="auto" w:sz="4" w:space="0"/>
              <w:bottom w:val="single" w:color="auto" w:sz="4" w:space="0"/>
              <w:right w:val="single" w:color="auto" w:sz="4" w:space="0"/>
            </w:tcBorders>
            <w:noWrap w:val="0"/>
            <w:vAlign w:val="center"/>
          </w:tcPr>
          <w:p w14:paraId="37343C87">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254FF4D">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D168DE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自评分</w:t>
            </w:r>
          </w:p>
        </w:tc>
      </w:tr>
      <w:tr w14:paraId="0C65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F91BE9C">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right w:val="single" w:color="auto" w:sz="4" w:space="0"/>
            </w:tcBorders>
            <w:noWrap w:val="0"/>
            <w:vAlign w:val="center"/>
          </w:tcPr>
          <w:p w14:paraId="526B2B7D">
            <w:pPr>
              <w:jc w:val="center"/>
              <w:rPr>
                <w:rFonts w:hint="eastAsia" w:ascii="宋体" w:hAnsi="宋体"/>
                <w:color w:val="auto"/>
                <w:sz w:val="24"/>
                <w:szCs w:val="24"/>
                <w:highlight w:val="none"/>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14:paraId="0351D959">
            <w:pPr>
              <w:jc w:val="center"/>
              <w:rPr>
                <w:rFonts w:hint="eastAsia" w:ascii="宋体" w:hAnsi="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8F55BAD">
            <w:pPr>
              <w:jc w:val="center"/>
              <w:rPr>
                <w:rFonts w:hint="eastAsia" w:ascii="宋体" w:hAnsi="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0EBC52C">
            <w:pPr>
              <w:jc w:val="center"/>
              <w:rPr>
                <w:rFonts w:hint="eastAsia" w:ascii="宋体" w:hAnsi="宋体"/>
                <w:color w:val="auto"/>
                <w:sz w:val="24"/>
                <w:szCs w:val="24"/>
                <w:highlight w:val="none"/>
              </w:rPr>
            </w:pPr>
          </w:p>
        </w:tc>
      </w:tr>
      <w:tr w14:paraId="6E2F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4C56794E">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right w:val="single" w:color="auto" w:sz="4" w:space="0"/>
            </w:tcBorders>
            <w:noWrap w:val="0"/>
            <w:vAlign w:val="center"/>
          </w:tcPr>
          <w:p w14:paraId="1C2E7522">
            <w:pPr>
              <w:jc w:val="center"/>
              <w:rPr>
                <w:rFonts w:hint="eastAsia" w:ascii="宋体" w:hAnsi="宋体"/>
                <w:color w:val="auto"/>
                <w:sz w:val="24"/>
                <w:szCs w:val="24"/>
                <w:highlight w:val="none"/>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14:paraId="262C31E4">
            <w:pPr>
              <w:jc w:val="center"/>
              <w:rPr>
                <w:rFonts w:hint="eastAsia" w:ascii="宋体" w:hAnsi="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1D6E4E4">
            <w:pPr>
              <w:jc w:val="center"/>
              <w:rPr>
                <w:rFonts w:hint="eastAsia" w:ascii="宋体" w:hAnsi="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CA20B17">
            <w:pPr>
              <w:jc w:val="center"/>
              <w:rPr>
                <w:rFonts w:hint="eastAsia" w:ascii="宋体" w:hAnsi="宋体"/>
                <w:color w:val="auto"/>
                <w:sz w:val="24"/>
                <w:szCs w:val="24"/>
                <w:highlight w:val="none"/>
              </w:rPr>
            </w:pPr>
          </w:p>
        </w:tc>
      </w:tr>
      <w:tr w14:paraId="231D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4DA38C8">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260" w:type="dxa"/>
            <w:tcBorders>
              <w:top w:val="single" w:color="auto" w:sz="4" w:space="0"/>
              <w:left w:val="single" w:color="auto" w:sz="4" w:space="0"/>
              <w:right w:val="single" w:color="auto" w:sz="4" w:space="0"/>
            </w:tcBorders>
            <w:noWrap w:val="0"/>
            <w:vAlign w:val="center"/>
          </w:tcPr>
          <w:p w14:paraId="5D7D7425">
            <w:pPr>
              <w:jc w:val="center"/>
              <w:rPr>
                <w:rFonts w:hint="eastAsia" w:ascii="宋体" w:hAnsi="宋体"/>
                <w:color w:val="auto"/>
                <w:sz w:val="24"/>
                <w:szCs w:val="24"/>
                <w:highlight w:val="none"/>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14:paraId="1442B83D">
            <w:pPr>
              <w:jc w:val="left"/>
              <w:rPr>
                <w:rFonts w:hint="eastAsia" w:ascii="宋体" w:hAnsi="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2696D7A">
            <w:pPr>
              <w:jc w:val="center"/>
              <w:rPr>
                <w:rFonts w:hint="eastAsia" w:ascii="宋体" w:hAnsi="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B0F18E2">
            <w:pPr>
              <w:jc w:val="center"/>
              <w:rPr>
                <w:rFonts w:hint="eastAsia" w:ascii="宋体" w:hAnsi="宋体"/>
                <w:color w:val="auto"/>
                <w:sz w:val="24"/>
                <w:szCs w:val="24"/>
                <w:highlight w:val="none"/>
              </w:rPr>
            </w:pPr>
          </w:p>
        </w:tc>
      </w:tr>
    </w:tbl>
    <w:p w14:paraId="09CFCA6F">
      <w:pPr>
        <w:spacing w:line="360" w:lineRule="auto"/>
        <w:ind w:left="5460" w:hanging="5460" w:hangingChars="2275"/>
        <w:jc w:val="center"/>
        <w:rPr>
          <w:rFonts w:hint="eastAsia" w:ascii="宋体" w:hAnsi="宋体"/>
          <w:bCs/>
          <w:color w:val="auto"/>
          <w:sz w:val="24"/>
          <w:highlight w:val="none"/>
          <w:lang w:val="zh-CN"/>
        </w:rPr>
      </w:pPr>
    </w:p>
    <w:p w14:paraId="60D7EF47">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84E2D63">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0791BD8F">
      <w:pPr>
        <w:spacing w:line="580" w:lineRule="exact"/>
        <w:ind w:firstLine="480" w:firstLineChars="200"/>
        <w:rPr>
          <w:rFonts w:hint="eastAsia" w:ascii="宋体" w:hAnsi="宋体"/>
          <w:bCs/>
          <w:color w:val="auto"/>
          <w:sz w:val="24"/>
          <w:szCs w:val="24"/>
          <w:highlight w:val="none"/>
          <w:lang w:val="zh-CN"/>
        </w:rPr>
      </w:pPr>
    </w:p>
    <w:p w14:paraId="1D14A13D">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0063544B">
      <w:pPr>
        <w:spacing w:line="580" w:lineRule="exact"/>
        <w:rPr>
          <w:rFonts w:hint="eastAsia" w:ascii="黑体" w:hAnsi="宋体" w:eastAsia="黑体"/>
          <w:bCs/>
          <w:color w:val="auto"/>
          <w:sz w:val="24"/>
          <w:szCs w:val="24"/>
          <w:highlight w:val="none"/>
          <w:lang w:val="zh-CN"/>
        </w:rPr>
      </w:pPr>
    </w:p>
    <w:p w14:paraId="4BBC2F20">
      <w:pPr>
        <w:spacing w:line="580" w:lineRule="exact"/>
        <w:rPr>
          <w:rFonts w:hint="eastAsia" w:ascii="黑体" w:hAnsi="宋体" w:eastAsia="黑体"/>
          <w:bCs/>
          <w:color w:val="auto"/>
          <w:sz w:val="24"/>
          <w:szCs w:val="24"/>
          <w:highlight w:val="none"/>
          <w:lang w:val="zh-CN"/>
        </w:rPr>
      </w:pPr>
    </w:p>
    <w:p w14:paraId="0B3BCE28">
      <w:pPr>
        <w:pStyle w:val="14"/>
        <w:rPr>
          <w:rFonts w:hint="eastAsia" w:ascii="黑体" w:hAnsi="宋体" w:eastAsia="黑体"/>
          <w:bCs/>
          <w:color w:val="auto"/>
          <w:sz w:val="24"/>
          <w:szCs w:val="24"/>
          <w:highlight w:val="none"/>
          <w:lang w:val="zh-CN"/>
        </w:rPr>
      </w:pPr>
    </w:p>
    <w:p w14:paraId="6E3ED3C9">
      <w:pPr>
        <w:rPr>
          <w:rFonts w:hint="eastAsia" w:ascii="黑体" w:hAnsi="宋体" w:eastAsia="黑体"/>
          <w:bCs/>
          <w:color w:val="auto"/>
          <w:sz w:val="24"/>
          <w:szCs w:val="24"/>
          <w:highlight w:val="none"/>
          <w:lang w:val="zh-CN"/>
        </w:rPr>
      </w:pPr>
    </w:p>
    <w:p w14:paraId="757E70AE">
      <w:pPr>
        <w:pStyle w:val="14"/>
        <w:rPr>
          <w:rFonts w:hint="eastAsia" w:ascii="黑体" w:hAnsi="宋体" w:eastAsia="黑体"/>
          <w:bCs/>
          <w:color w:val="auto"/>
          <w:sz w:val="24"/>
          <w:szCs w:val="24"/>
          <w:highlight w:val="none"/>
          <w:lang w:val="zh-CN"/>
        </w:rPr>
      </w:pPr>
    </w:p>
    <w:p w14:paraId="4B61EEEF">
      <w:pPr>
        <w:rPr>
          <w:rFonts w:hint="eastAsia" w:ascii="黑体" w:hAnsi="宋体" w:eastAsia="黑体"/>
          <w:bCs/>
          <w:color w:val="auto"/>
          <w:sz w:val="24"/>
          <w:szCs w:val="24"/>
          <w:highlight w:val="none"/>
          <w:lang w:val="zh-CN"/>
        </w:rPr>
      </w:pPr>
    </w:p>
    <w:p w14:paraId="2D19AF5B">
      <w:pPr>
        <w:pStyle w:val="14"/>
        <w:rPr>
          <w:rFonts w:hint="eastAsia" w:ascii="黑体" w:hAnsi="宋体" w:eastAsia="黑体"/>
          <w:bCs/>
          <w:color w:val="auto"/>
          <w:sz w:val="24"/>
          <w:szCs w:val="24"/>
          <w:highlight w:val="none"/>
          <w:lang w:val="zh-CN"/>
        </w:rPr>
      </w:pPr>
    </w:p>
    <w:p w14:paraId="581CF2D7">
      <w:pPr>
        <w:rPr>
          <w:rFonts w:hint="eastAsia" w:ascii="黑体" w:hAnsi="宋体" w:eastAsia="黑体"/>
          <w:bCs/>
          <w:color w:val="auto"/>
          <w:sz w:val="24"/>
          <w:szCs w:val="24"/>
          <w:highlight w:val="none"/>
          <w:lang w:val="zh-CN"/>
        </w:rPr>
      </w:pPr>
    </w:p>
    <w:p w14:paraId="253D3C5E">
      <w:pPr>
        <w:pStyle w:val="14"/>
        <w:rPr>
          <w:rFonts w:hint="eastAsia" w:ascii="黑体" w:hAnsi="宋体" w:eastAsia="黑体"/>
          <w:bCs/>
          <w:color w:val="auto"/>
          <w:sz w:val="24"/>
          <w:szCs w:val="24"/>
          <w:highlight w:val="none"/>
          <w:lang w:val="zh-CN"/>
        </w:rPr>
      </w:pPr>
    </w:p>
    <w:p w14:paraId="1A326B7C">
      <w:pPr>
        <w:rPr>
          <w:rFonts w:hint="eastAsia"/>
          <w:color w:val="auto"/>
          <w:highlight w:val="none"/>
          <w:lang w:val="zh-CN"/>
        </w:rPr>
      </w:pPr>
    </w:p>
    <w:p w14:paraId="79747F6D">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rPr>
        <w:t>六</w:t>
      </w:r>
      <w:r>
        <w:rPr>
          <w:rFonts w:hint="eastAsia" w:ascii="黑体" w:hAnsi="宋体" w:eastAsia="黑体" w:cs="Times New Roman"/>
          <w:bCs/>
          <w:color w:val="auto"/>
          <w:sz w:val="28"/>
          <w:szCs w:val="28"/>
          <w:highlight w:val="none"/>
          <w:lang w:val="zh-CN"/>
        </w:rPr>
        <w:t>）招标文件“第三章 项目技术要求和有关说明”中要求提供的相关文件、证明材料等（如有自行添加）</w:t>
      </w:r>
    </w:p>
    <w:p w14:paraId="453BBA3A">
      <w:pPr>
        <w:rPr>
          <w:rFonts w:hint="eastAsia" w:ascii="黑体" w:hAnsi="宋体" w:eastAsia="黑体"/>
          <w:bCs/>
          <w:color w:val="auto"/>
          <w:sz w:val="24"/>
          <w:szCs w:val="24"/>
          <w:highlight w:val="none"/>
          <w:lang w:val="zh-CN"/>
        </w:rPr>
      </w:pPr>
    </w:p>
    <w:p w14:paraId="15E696B4">
      <w:pPr>
        <w:spacing w:line="580" w:lineRule="exact"/>
        <w:rPr>
          <w:rFonts w:hint="eastAsia" w:ascii="黑体" w:hAnsi="宋体" w:eastAsia="黑体"/>
          <w:bCs/>
          <w:color w:val="auto"/>
          <w:sz w:val="24"/>
          <w:szCs w:val="24"/>
          <w:highlight w:val="none"/>
        </w:rPr>
      </w:pPr>
    </w:p>
    <w:p w14:paraId="19B1ECD5">
      <w:pPr>
        <w:spacing w:line="580" w:lineRule="exact"/>
        <w:rPr>
          <w:rFonts w:hint="eastAsia" w:ascii="黑体" w:hAnsi="宋体" w:eastAsia="黑体"/>
          <w:bCs/>
          <w:color w:val="auto"/>
          <w:sz w:val="24"/>
          <w:szCs w:val="24"/>
          <w:highlight w:val="none"/>
        </w:rPr>
      </w:pPr>
    </w:p>
    <w:p w14:paraId="444C2A55">
      <w:pPr>
        <w:spacing w:line="580" w:lineRule="exact"/>
        <w:rPr>
          <w:rFonts w:hint="eastAsia" w:ascii="黑体" w:hAnsi="宋体" w:eastAsia="黑体"/>
          <w:bCs/>
          <w:color w:val="auto"/>
          <w:sz w:val="24"/>
          <w:szCs w:val="24"/>
          <w:highlight w:val="none"/>
        </w:rPr>
      </w:pPr>
    </w:p>
    <w:p w14:paraId="69B5DF11">
      <w:pPr>
        <w:spacing w:line="580" w:lineRule="exact"/>
        <w:rPr>
          <w:rFonts w:hint="eastAsia" w:ascii="黑体" w:hAnsi="宋体" w:eastAsia="黑体"/>
          <w:bCs/>
          <w:color w:val="auto"/>
          <w:sz w:val="24"/>
          <w:szCs w:val="24"/>
          <w:highlight w:val="none"/>
        </w:rPr>
      </w:pPr>
    </w:p>
    <w:p w14:paraId="76620AD5">
      <w:pPr>
        <w:spacing w:line="580" w:lineRule="exact"/>
        <w:rPr>
          <w:rFonts w:hint="eastAsia" w:ascii="黑体" w:hAnsi="宋体" w:eastAsia="黑体"/>
          <w:bCs/>
          <w:color w:val="auto"/>
          <w:sz w:val="24"/>
          <w:szCs w:val="24"/>
          <w:highlight w:val="none"/>
        </w:rPr>
      </w:pPr>
    </w:p>
    <w:p w14:paraId="2E429051">
      <w:pPr>
        <w:spacing w:line="580" w:lineRule="exact"/>
        <w:rPr>
          <w:rFonts w:hint="eastAsia" w:ascii="黑体" w:hAnsi="宋体" w:eastAsia="黑体"/>
          <w:bCs/>
          <w:color w:val="auto"/>
          <w:sz w:val="24"/>
          <w:szCs w:val="24"/>
          <w:highlight w:val="none"/>
        </w:rPr>
      </w:pPr>
    </w:p>
    <w:p w14:paraId="78B467FE">
      <w:pPr>
        <w:spacing w:line="580" w:lineRule="exact"/>
        <w:rPr>
          <w:rFonts w:hint="eastAsia" w:ascii="黑体" w:hAnsi="宋体" w:eastAsia="黑体"/>
          <w:bCs/>
          <w:color w:val="auto"/>
          <w:sz w:val="24"/>
          <w:szCs w:val="24"/>
          <w:highlight w:val="none"/>
        </w:rPr>
      </w:pPr>
    </w:p>
    <w:p w14:paraId="212CD15A">
      <w:pPr>
        <w:spacing w:line="580" w:lineRule="exact"/>
        <w:rPr>
          <w:rFonts w:hint="eastAsia" w:ascii="黑体" w:hAnsi="宋体" w:eastAsia="黑体"/>
          <w:bCs/>
          <w:color w:val="auto"/>
          <w:sz w:val="24"/>
          <w:szCs w:val="24"/>
          <w:highlight w:val="none"/>
        </w:rPr>
      </w:pPr>
    </w:p>
    <w:p w14:paraId="763C9299">
      <w:pPr>
        <w:spacing w:line="580" w:lineRule="exact"/>
        <w:rPr>
          <w:rFonts w:hint="eastAsia" w:ascii="黑体" w:hAnsi="宋体" w:eastAsia="黑体"/>
          <w:bCs/>
          <w:color w:val="auto"/>
          <w:sz w:val="24"/>
          <w:szCs w:val="24"/>
          <w:highlight w:val="none"/>
        </w:rPr>
      </w:pPr>
    </w:p>
    <w:p w14:paraId="1E1D9458">
      <w:pPr>
        <w:spacing w:line="580" w:lineRule="exact"/>
        <w:rPr>
          <w:rFonts w:hint="eastAsia" w:ascii="黑体" w:hAnsi="宋体" w:eastAsia="黑体"/>
          <w:bCs/>
          <w:color w:val="auto"/>
          <w:sz w:val="24"/>
          <w:szCs w:val="24"/>
          <w:highlight w:val="none"/>
        </w:rPr>
      </w:pPr>
    </w:p>
    <w:p w14:paraId="45161F16">
      <w:pPr>
        <w:spacing w:line="580" w:lineRule="exact"/>
        <w:rPr>
          <w:rFonts w:hint="eastAsia" w:ascii="黑体" w:hAnsi="宋体" w:eastAsia="黑体"/>
          <w:bCs/>
          <w:color w:val="auto"/>
          <w:sz w:val="24"/>
          <w:szCs w:val="24"/>
          <w:highlight w:val="none"/>
        </w:rPr>
      </w:pPr>
    </w:p>
    <w:p w14:paraId="0F86D5C8">
      <w:pPr>
        <w:spacing w:line="580" w:lineRule="exact"/>
        <w:rPr>
          <w:rFonts w:hint="eastAsia" w:ascii="黑体" w:hAnsi="宋体" w:eastAsia="黑体"/>
          <w:bCs/>
          <w:color w:val="auto"/>
          <w:sz w:val="24"/>
          <w:szCs w:val="24"/>
          <w:highlight w:val="none"/>
        </w:rPr>
      </w:pPr>
    </w:p>
    <w:p w14:paraId="5FF87823">
      <w:pPr>
        <w:spacing w:line="580" w:lineRule="exact"/>
        <w:rPr>
          <w:rFonts w:hint="eastAsia" w:ascii="黑体" w:hAnsi="宋体" w:eastAsia="黑体"/>
          <w:bCs/>
          <w:color w:val="auto"/>
          <w:sz w:val="24"/>
          <w:szCs w:val="24"/>
          <w:highlight w:val="none"/>
        </w:rPr>
      </w:pPr>
    </w:p>
    <w:p w14:paraId="09AF10F3">
      <w:pPr>
        <w:spacing w:line="580" w:lineRule="exact"/>
        <w:rPr>
          <w:rFonts w:hint="eastAsia" w:ascii="黑体" w:hAnsi="宋体" w:eastAsia="黑体"/>
          <w:bCs/>
          <w:color w:val="auto"/>
          <w:sz w:val="24"/>
          <w:szCs w:val="24"/>
          <w:highlight w:val="none"/>
        </w:rPr>
      </w:pPr>
    </w:p>
    <w:p w14:paraId="316378C3">
      <w:pPr>
        <w:spacing w:line="580" w:lineRule="exact"/>
        <w:rPr>
          <w:rFonts w:hint="eastAsia" w:ascii="黑体" w:hAnsi="宋体" w:eastAsia="黑体"/>
          <w:bCs/>
          <w:color w:val="auto"/>
          <w:sz w:val="24"/>
          <w:szCs w:val="24"/>
          <w:highlight w:val="none"/>
        </w:rPr>
      </w:pPr>
    </w:p>
    <w:p w14:paraId="3F106896">
      <w:pPr>
        <w:spacing w:line="580" w:lineRule="exact"/>
        <w:rPr>
          <w:rFonts w:hint="eastAsia" w:ascii="黑体" w:hAnsi="宋体" w:eastAsia="黑体"/>
          <w:bCs/>
          <w:color w:val="auto"/>
          <w:sz w:val="24"/>
          <w:szCs w:val="24"/>
          <w:highlight w:val="none"/>
        </w:rPr>
      </w:pPr>
    </w:p>
    <w:p w14:paraId="5BA7D061">
      <w:pPr>
        <w:spacing w:line="580" w:lineRule="exact"/>
        <w:rPr>
          <w:rFonts w:hint="eastAsia" w:ascii="黑体" w:hAnsi="宋体" w:eastAsia="黑体"/>
          <w:bCs/>
          <w:color w:val="auto"/>
          <w:sz w:val="24"/>
          <w:szCs w:val="24"/>
          <w:highlight w:val="none"/>
        </w:rPr>
      </w:pPr>
    </w:p>
    <w:p w14:paraId="7B7D1CA0">
      <w:pPr>
        <w:spacing w:line="580" w:lineRule="exact"/>
        <w:rPr>
          <w:rFonts w:hint="eastAsia" w:ascii="黑体" w:hAnsi="宋体" w:eastAsia="黑体"/>
          <w:bCs/>
          <w:color w:val="auto"/>
          <w:sz w:val="24"/>
          <w:szCs w:val="24"/>
          <w:highlight w:val="none"/>
        </w:rPr>
      </w:pPr>
    </w:p>
    <w:p w14:paraId="2244EE79">
      <w:pPr>
        <w:spacing w:line="580" w:lineRule="exact"/>
        <w:rPr>
          <w:rFonts w:hint="eastAsia" w:ascii="黑体" w:hAnsi="宋体" w:eastAsia="黑体"/>
          <w:bCs/>
          <w:color w:val="auto"/>
          <w:sz w:val="24"/>
          <w:szCs w:val="24"/>
          <w:highlight w:val="none"/>
        </w:rPr>
      </w:pPr>
    </w:p>
    <w:p w14:paraId="32533749">
      <w:pPr>
        <w:spacing w:line="580" w:lineRule="exact"/>
        <w:rPr>
          <w:rFonts w:hint="eastAsia" w:ascii="黑体" w:hAnsi="宋体" w:eastAsia="黑体"/>
          <w:bCs/>
          <w:color w:val="auto"/>
          <w:sz w:val="24"/>
          <w:szCs w:val="24"/>
          <w:highlight w:val="none"/>
        </w:rPr>
      </w:pPr>
    </w:p>
    <w:p w14:paraId="6DEF2117">
      <w:pPr>
        <w:rPr>
          <w:rFonts w:hint="eastAsia" w:ascii="黑体" w:hAnsi="宋体" w:eastAsia="黑体" w:cs="Times New Roman"/>
          <w:bCs/>
          <w:color w:val="auto"/>
          <w:sz w:val="28"/>
          <w:szCs w:val="28"/>
          <w:highlight w:val="none"/>
        </w:rPr>
      </w:pPr>
      <w:r>
        <w:rPr>
          <w:rFonts w:hint="eastAsia" w:ascii="黑体" w:hAnsi="宋体" w:eastAsia="黑体" w:cs="Times New Roman"/>
          <w:bCs/>
          <w:color w:val="auto"/>
          <w:sz w:val="28"/>
          <w:szCs w:val="28"/>
          <w:highlight w:val="none"/>
        </w:rPr>
        <w:br w:type="page"/>
      </w:r>
    </w:p>
    <w:p w14:paraId="00B2E0A4">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rPr>
        <w:t>（</w:t>
      </w:r>
      <w:r>
        <w:rPr>
          <w:rFonts w:hint="eastAsia" w:ascii="黑体" w:hAnsi="宋体" w:eastAsia="黑体" w:cs="Times New Roman"/>
          <w:bCs/>
          <w:color w:val="auto"/>
          <w:sz w:val="28"/>
          <w:szCs w:val="28"/>
          <w:highlight w:val="none"/>
          <w:lang w:val="en-US" w:eastAsia="zh-CN"/>
        </w:rPr>
        <w:t>七</w:t>
      </w:r>
      <w:r>
        <w:rPr>
          <w:rFonts w:hint="eastAsia" w:ascii="黑体" w:hAnsi="宋体" w:eastAsia="黑体" w:cs="Times New Roman"/>
          <w:bCs/>
          <w:color w:val="auto"/>
          <w:sz w:val="28"/>
          <w:szCs w:val="28"/>
          <w:highlight w:val="none"/>
        </w:rPr>
        <w:t>）</w:t>
      </w:r>
      <w:r>
        <w:rPr>
          <w:rFonts w:hint="eastAsia" w:ascii="黑体" w:hAnsi="宋体" w:eastAsia="黑体" w:cs="Times New Roman"/>
          <w:bCs/>
          <w:color w:val="auto"/>
          <w:sz w:val="28"/>
          <w:szCs w:val="28"/>
          <w:highlight w:val="none"/>
          <w:lang w:val="zh-CN"/>
        </w:rPr>
        <w:t>项目人员配置清单（格式）</w:t>
      </w:r>
    </w:p>
    <w:p w14:paraId="757F86B1">
      <w:pPr>
        <w:tabs>
          <w:tab w:val="left" w:pos="255"/>
        </w:tabs>
        <w:spacing w:line="360" w:lineRule="auto"/>
        <w:rPr>
          <w:rFonts w:hint="eastAsia" w:ascii="宋体" w:hAnsi="宋体"/>
          <w:bCs/>
          <w:color w:val="auto"/>
          <w:sz w:val="24"/>
          <w:szCs w:val="24"/>
          <w:highlight w:val="none"/>
          <w:lang w:val="zh-CN"/>
        </w:rPr>
      </w:pPr>
    </w:p>
    <w:p w14:paraId="5B87B2B7">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0CDF29BF">
      <w:pPr>
        <w:tabs>
          <w:tab w:val="left" w:pos="255"/>
        </w:tabs>
        <w:spacing w:line="360" w:lineRule="auto"/>
        <w:jc w:val="both"/>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36"/>
        <w:gridCol w:w="1194"/>
        <w:gridCol w:w="1140"/>
        <w:gridCol w:w="1289"/>
        <w:gridCol w:w="1140"/>
        <w:gridCol w:w="994"/>
        <w:gridCol w:w="1006"/>
      </w:tblGrid>
      <w:tr w14:paraId="47B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7A5CA6A">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E56B090">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54D9738">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0341527B">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4F581D26">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6F78C1B1">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154188E7">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0787D39C">
            <w:pPr>
              <w:jc w:val="center"/>
              <w:rPr>
                <w:bCs/>
                <w:color w:val="auto"/>
                <w:sz w:val="24"/>
                <w:highlight w:val="none"/>
              </w:rPr>
            </w:pPr>
            <w:r>
              <w:rPr>
                <w:rFonts w:hint="eastAsia"/>
                <w:bCs/>
                <w:color w:val="auto"/>
                <w:sz w:val="24"/>
                <w:highlight w:val="none"/>
              </w:rPr>
              <w:t>备注</w:t>
            </w:r>
          </w:p>
        </w:tc>
      </w:tr>
      <w:tr w14:paraId="28B6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70C48A2">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15DD8DC">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4BEAC3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92706D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439AD1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964BD3A">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A8DD02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5485C768">
            <w:pPr>
              <w:jc w:val="center"/>
              <w:rPr>
                <w:rFonts w:hint="eastAsia" w:ascii="宋体" w:hAnsi="宋体"/>
                <w:color w:val="auto"/>
                <w:sz w:val="24"/>
                <w:highlight w:val="none"/>
              </w:rPr>
            </w:pPr>
          </w:p>
        </w:tc>
      </w:tr>
      <w:tr w14:paraId="44E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8A93C9B">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087A322">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0675B86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EC98A27">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8E4D19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03C7A4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5842A7D3">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27B2076">
            <w:pPr>
              <w:jc w:val="center"/>
              <w:rPr>
                <w:rFonts w:hint="eastAsia" w:ascii="宋体" w:hAnsi="宋体"/>
                <w:color w:val="auto"/>
                <w:sz w:val="24"/>
                <w:highlight w:val="none"/>
              </w:rPr>
            </w:pPr>
          </w:p>
        </w:tc>
      </w:tr>
      <w:tr w14:paraId="6995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40C2E46">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FA4F4D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600865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A4A7F9C">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05409F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AB81DE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6894913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EC0173B">
            <w:pPr>
              <w:jc w:val="center"/>
              <w:rPr>
                <w:rFonts w:hint="eastAsia" w:ascii="宋体" w:hAnsi="宋体"/>
                <w:color w:val="auto"/>
                <w:sz w:val="24"/>
                <w:highlight w:val="none"/>
              </w:rPr>
            </w:pPr>
          </w:p>
        </w:tc>
      </w:tr>
      <w:tr w14:paraId="13D9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77F48297">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2DB3CF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DDFADF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31357A5">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E2B270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36F632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5A72C4E5">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B64BC70">
            <w:pPr>
              <w:jc w:val="center"/>
              <w:rPr>
                <w:rFonts w:hint="eastAsia" w:ascii="宋体" w:hAnsi="宋体"/>
                <w:color w:val="auto"/>
                <w:sz w:val="24"/>
                <w:highlight w:val="none"/>
              </w:rPr>
            </w:pPr>
          </w:p>
        </w:tc>
      </w:tr>
      <w:tr w14:paraId="716E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FB2FF7C">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A97175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DCC4D52">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85C6E11">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970F4E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7913F9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9F0D2F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ED6F0D6">
            <w:pPr>
              <w:jc w:val="center"/>
              <w:rPr>
                <w:rFonts w:hint="eastAsia" w:ascii="宋体" w:hAnsi="宋体"/>
                <w:color w:val="auto"/>
                <w:sz w:val="24"/>
                <w:highlight w:val="none"/>
              </w:rPr>
            </w:pPr>
          </w:p>
        </w:tc>
      </w:tr>
      <w:tr w14:paraId="3F59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CC7DA6C">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254426F">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728435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832B6F6">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25ED34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11DE7E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E230150">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72A4FAEF">
            <w:pPr>
              <w:jc w:val="center"/>
              <w:rPr>
                <w:rFonts w:hint="eastAsia" w:ascii="宋体" w:hAnsi="宋体"/>
                <w:color w:val="auto"/>
                <w:sz w:val="24"/>
                <w:highlight w:val="none"/>
              </w:rPr>
            </w:pPr>
          </w:p>
        </w:tc>
      </w:tr>
      <w:tr w14:paraId="5BE8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477FD8F1">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3E0F0A0">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2B6233C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4EE64E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C8EBB1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DE640E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648CC8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1907B97E">
            <w:pPr>
              <w:jc w:val="center"/>
              <w:rPr>
                <w:rFonts w:hint="eastAsia" w:ascii="宋体" w:hAnsi="宋体"/>
                <w:color w:val="auto"/>
                <w:sz w:val="24"/>
                <w:highlight w:val="none"/>
              </w:rPr>
            </w:pPr>
          </w:p>
        </w:tc>
      </w:tr>
      <w:tr w14:paraId="742F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D451C55">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76EABA7">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95D102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72CD5E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B4E319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DD37CA5">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70AAC5B">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EEC8010">
            <w:pPr>
              <w:jc w:val="center"/>
              <w:rPr>
                <w:rFonts w:hint="eastAsia" w:ascii="宋体" w:hAnsi="宋体"/>
                <w:color w:val="auto"/>
                <w:sz w:val="24"/>
                <w:highlight w:val="none"/>
              </w:rPr>
            </w:pPr>
          </w:p>
        </w:tc>
      </w:tr>
      <w:tr w14:paraId="6AD7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172BCED8">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E841F3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76502A2">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C1451F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74EF43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645FAE0">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A65DCF3">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7915B68">
            <w:pPr>
              <w:jc w:val="center"/>
              <w:rPr>
                <w:rFonts w:hint="eastAsia" w:ascii="宋体" w:hAnsi="宋体"/>
                <w:color w:val="auto"/>
                <w:sz w:val="24"/>
                <w:highlight w:val="none"/>
              </w:rPr>
            </w:pPr>
          </w:p>
        </w:tc>
      </w:tr>
      <w:tr w14:paraId="6980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474A4961">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6D63EF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F9259B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178F382">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8738AD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8F7BF94">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D7B671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56DE30D3">
            <w:pPr>
              <w:jc w:val="center"/>
              <w:rPr>
                <w:rFonts w:hint="eastAsia" w:ascii="宋体" w:hAnsi="宋体"/>
                <w:color w:val="auto"/>
                <w:sz w:val="24"/>
                <w:highlight w:val="none"/>
              </w:rPr>
            </w:pPr>
          </w:p>
        </w:tc>
      </w:tr>
      <w:tr w14:paraId="4824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CAE9CB5">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F2C2ACF">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F5DC5E3">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B0A02C3">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3B1B977">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194AE35">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87CB10F">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52F2C3D6">
            <w:pPr>
              <w:jc w:val="center"/>
              <w:rPr>
                <w:rFonts w:hint="eastAsia"/>
                <w:color w:val="auto"/>
                <w:sz w:val="24"/>
                <w:highlight w:val="none"/>
              </w:rPr>
            </w:pPr>
          </w:p>
        </w:tc>
      </w:tr>
    </w:tbl>
    <w:p w14:paraId="625D119A">
      <w:pPr>
        <w:tabs>
          <w:tab w:val="left" w:pos="255"/>
        </w:tabs>
        <w:spacing w:line="360" w:lineRule="auto"/>
        <w:ind w:left="840" w:leftChars="400"/>
        <w:rPr>
          <w:rFonts w:hint="eastAsia" w:ascii="宋体" w:hAnsi="宋体"/>
          <w:bCs/>
          <w:color w:val="auto"/>
          <w:sz w:val="24"/>
          <w:szCs w:val="24"/>
          <w:highlight w:val="none"/>
          <w:lang w:val="zh-CN"/>
        </w:rPr>
      </w:pPr>
    </w:p>
    <w:p w14:paraId="1FE6E304">
      <w:pPr>
        <w:rPr>
          <w:rFonts w:hint="eastAsia"/>
          <w:color w:val="auto"/>
          <w:highlight w:val="none"/>
        </w:rPr>
      </w:pPr>
      <w:r>
        <w:rPr>
          <w:rFonts w:hint="eastAsia" w:ascii="宋体" w:hAnsi="宋体"/>
          <w:color w:val="auto"/>
          <w:highlight w:val="none"/>
        </w:rPr>
        <w:t>注：1. 表格不够可自行延长。</w:t>
      </w:r>
    </w:p>
    <w:p w14:paraId="618C9122">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2.上表内容须按招标文件要求提供经社保部门确认的社保缴纳名单复印件（标注各人员所处位置）和相关证书复印件作为填列证明材料，证明材料请附在本表之后。</w:t>
      </w:r>
    </w:p>
    <w:p w14:paraId="51505E38">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w:t>
      </w:r>
      <w:r>
        <w:rPr>
          <w:rFonts w:hint="eastAsia"/>
          <w:color w:val="auto"/>
          <w:highlight w:val="none"/>
          <w:lang w:eastAsia="zh-CN"/>
        </w:rPr>
        <w:t>招标人</w:t>
      </w:r>
      <w:r>
        <w:rPr>
          <w:rFonts w:hint="eastAsia"/>
          <w:color w:val="auto"/>
          <w:highlight w:val="none"/>
        </w:rPr>
        <w:t>同意。擅自更换或不到位属违约行为。</w:t>
      </w:r>
    </w:p>
    <w:p w14:paraId="46E1601B">
      <w:pPr>
        <w:tabs>
          <w:tab w:val="left" w:pos="255"/>
        </w:tabs>
        <w:spacing w:line="360" w:lineRule="auto"/>
        <w:ind w:left="840" w:leftChars="400"/>
        <w:rPr>
          <w:rFonts w:hint="eastAsia" w:ascii="宋体" w:hAnsi="宋体"/>
          <w:bCs/>
          <w:color w:val="auto"/>
          <w:sz w:val="24"/>
          <w:szCs w:val="24"/>
          <w:highlight w:val="none"/>
          <w:lang w:val="zh-CN"/>
        </w:rPr>
      </w:pPr>
    </w:p>
    <w:p w14:paraId="4B150BAA">
      <w:pPr>
        <w:tabs>
          <w:tab w:val="left" w:pos="255"/>
        </w:tabs>
        <w:spacing w:line="360" w:lineRule="auto"/>
        <w:ind w:left="840" w:leftChars="400"/>
        <w:rPr>
          <w:rFonts w:hint="eastAsia" w:ascii="宋体" w:hAnsi="宋体"/>
          <w:bCs/>
          <w:color w:val="auto"/>
          <w:sz w:val="24"/>
          <w:szCs w:val="24"/>
          <w:highlight w:val="none"/>
          <w:lang w:val="zh-CN"/>
        </w:rPr>
      </w:pPr>
    </w:p>
    <w:p w14:paraId="6D197B53">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425C04F2">
      <w:pPr>
        <w:tabs>
          <w:tab w:val="left" w:pos="255"/>
        </w:tabs>
        <w:spacing w:line="360" w:lineRule="auto"/>
        <w:jc w:val="left"/>
        <w:rPr>
          <w:rFonts w:hint="eastAsia" w:ascii="黑体" w:hAnsi="宋体" w:eastAsia="黑体"/>
          <w:bCs/>
          <w:color w:val="auto"/>
          <w:sz w:val="24"/>
          <w:szCs w:val="24"/>
          <w:highlight w:val="none"/>
        </w:rPr>
      </w:pPr>
    </w:p>
    <w:p w14:paraId="532072BD">
      <w:pPr>
        <w:tabs>
          <w:tab w:val="left" w:pos="255"/>
        </w:tabs>
        <w:spacing w:line="360" w:lineRule="auto"/>
        <w:jc w:val="left"/>
        <w:rPr>
          <w:rFonts w:hint="eastAsia" w:ascii="黑体" w:hAnsi="宋体" w:eastAsia="黑体"/>
          <w:bCs/>
          <w:color w:val="auto"/>
          <w:sz w:val="24"/>
          <w:szCs w:val="24"/>
          <w:highlight w:val="none"/>
        </w:rPr>
      </w:pPr>
    </w:p>
    <w:p w14:paraId="21FBFB37">
      <w:pPr>
        <w:tabs>
          <w:tab w:val="left" w:pos="255"/>
        </w:tabs>
        <w:spacing w:line="360" w:lineRule="auto"/>
        <w:jc w:val="left"/>
        <w:rPr>
          <w:rFonts w:hint="eastAsia" w:ascii="黑体" w:hAnsi="宋体" w:eastAsia="黑体"/>
          <w:bCs/>
          <w:color w:val="auto"/>
          <w:sz w:val="24"/>
          <w:szCs w:val="24"/>
          <w:highlight w:val="none"/>
        </w:rPr>
      </w:pPr>
    </w:p>
    <w:p w14:paraId="6379A026">
      <w:pPr>
        <w:tabs>
          <w:tab w:val="left" w:pos="255"/>
        </w:tabs>
        <w:spacing w:line="360" w:lineRule="auto"/>
        <w:jc w:val="left"/>
        <w:rPr>
          <w:rFonts w:hint="eastAsia" w:ascii="黑体" w:hAnsi="宋体" w:eastAsia="黑体"/>
          <w:bCs/>
          <w:color w:val="auto"/>
          <w:sz w:val="24"/>
          <w:szCs w:val="24"/>
          <w:highlight w:val="none"/>
        </w:rPr>
      </w:pPr>
    </w:p>
    <w:p w14:paraId="4044E8A3">
      <w:pPr>
        <w:spacing w:line="360" w:lineRule="auto"/>
        <w:jc w:val="left"/>
        <w:rPr>
          <w:rFonts w:hint="eastAsia" w:ascii="黑体" w:hAnsi="宋体" w:eastAsia="黑体" w:cs="Times New Roman"/>
          <w:bCs/>
          <w:color w:val="auto"/>
          <w:sz w:val="28"/>
          <w:szCs w:val="28"/>
          <w:highlight w:val="none"/>
          <w:lang w:eastAsia="zh-CN"/>
        </w:rPr>
      </w:pP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lang w:val="en-US" w:eastAsia="zh-CN"/>
        </w:rPr>
        <w:t>八</w:t>
      </w:r>
      <w:r>
        <w:rPr>
          <w:rFonts w:hint="eastAsia" w:ascii="黑体" w:hAnsi="宋体" w:eastAsia="黑体" w:cs="Times New Roman"/>
          <w:bCs/>
          <w:color w:val="auto"/>
          <w:sz w:val="28"/>
          <w:szCs w:val="28"/>
          <w:highlight w:val="none"/>
          <w:lang w:val="zh-CN"/>
        </w:rPr>
        <w:t>）服务内容的详细说明及服务方案（格式自拟）：</w:t>
      </w:r>
    </w:p>
    <w:p w14:paraId="0CA23C38">
      <w:pPr>
        <w:spacing w:line="360" w:lineRule="auto"/>
        <w:jc w:val="left"/>
        <w:rPr>
          <w:rFonts w:hint="eastAsia" w:ascii="黑体" w:hAnsi="宋体" w:eastAsia="黑体" w:cs="Times New Roman"/>
          <w:bCs/>
          <w:color w:val="auto"/>
          <w:sz w:val="28"/>
          <w:szCs w:val="28"/>
          <w:highlight w:val="none"/>
          <w:lang w:eastAsia="zh-CN"/>
        </w:rPr>
      </w:pPr>
      <w:r>
        <w:rPr>
          <w:rFonts w:hint="eastAsia" w:ascii="黑体" w:hAnsi="宋体" w:eastAsia="黑体" w:cs="Times New Roman"/>
          <w:bCs/>
          <w:color w:val="auto"/>
          <w:sz w:val="28"/>
          <w:szCs w:val="28"/>
          <w:highlight w:val="none"/>
          <w:lang w:eastAsia="zh-CN"/>
        </w:rPr>
        <w:t>（</w:t>
      </w:r>
      <w:r>
        <w:rPr>
          <w:rFonts w:hint="eastAsia" w:ascii="黑体" w:hAnsi="宋体" w:eastAsia="黑体" w:cs="Times New Roman"/>
          <w:bCs/>
          <w:color w:val="auto"/>
          <w:sz w:val="28"/>
          <w:szCs w:val="28"/>
          <w:highlight w:val="none"/>
          <w:lang w:val="en-US" w:eastAsia="zh-CN"/>
        </w:rPr>
        <w:t>九</w:t>
      </w:r>
      <w:r>
        <w:rPr>
          <w:rFonts w:hint="eastAsia" w:ascii="黑体" w:hAnsi="宋体" w:eastAsia="黑体" w:cs="Times New Roman"/>
          <w:bCs/>
          <w:color w:val="auto"/>
          <w:sz w:val="28"/>
          <w:szCs w:val="28"/>
          <w:highlight w:val="none"/>
          <w:lang w:eastAsia="zh-CN"/>
        </w:rPr>
        <w:t>）要求招标人提供的配合（如有自拟并自行添加）</w:t>
      </w:r>
    </w:p>
    <w:p w14:paraId="50687C16">
      <w:pPr>
        <w:spacing w:line="360" w:lineRule="auto"/>
        <w:jc w:val="left"/>
        <w:rPr>
          <w:rFonts w:hint="eastAsia" w:ascii="黑体" w:hAnsi="宋体" w:eastAsia="黑体" w:cs="Times New Roman"/>
          <w:bCs/>
          <w:color w:val="auto"/>
          <w:sz w:val="28"/>
          <w:szCs w:val="28"/>
          <w:highlight w:val="none"/>
        </w:rPr>
      </w:pPr>
      <w:r>
        <w:rPr>
          <w:rFonts w:hint="eastAsia" w:ascii="黑体" w:hAnsi="宋体" w:eastAsia="黑体" w:cs="Times New Roman"/>
          <w:bCs/>
          <w:color w:val="auto"/>
          <w:sz w:val="28"/>
          <w:szCs w:val="28"/>
          <w:highlight w:val="none"/>
          <w:lang w:eastAsia="zh-CN"/>
        </w:rPr>
        <w:t>（</w:t>
      </w:r>
      <w:r>
        <w:rPr>
          <w:rFonts w:hint="eastAsia" w:ascii="黑体" w:hAnsi="宋体" w:eastAsia="黑体" w:cs="Times New Roman"/>
          <w:bCs/>
          <w:color w:val="auto"/>
          <w:sz w:val="28"/>
          <w:szCs w:val="28"/>
          <w:highlight w:val="none"/>
          <w:lang w:val="en-US" w:eastAsia="zh-CN"/>
        </w:rPr>
        <w:t>十</w:t>
      </w:r>
      <w:r>
        <w:rPr>
          <w:rFonts w:hint="eastAsia" w:ascii="黑体" w:hAnsi="宋体" w:eastAsia="黑体" w:cs="Times New Roman"/>
          <w:bCs/>
          <w:color w:val="auto"/>
          <w:sz w:val="28"/>
          <w:szCs w:val="28"/>
          <w:highlight w:val="none"/>
          <w:lang w:eastAsia="zh-CN"/>
        </w:rPr>
        <w:t>）</w:t>
      </w:r>
      <w:r>
        <w:rPr>
          <w:rFonts w:hint="eastAsia" w:ascii="黑体" w:hAnsi="宋体" w:eastAsia="黑体" w:cs="Times New Roman"/>
          <w:bCs/>
          <w:color w:val="auto"/>
          <w:sz w:val="28"/>
          <w:szCs w:val="28"/>
          <w:highlight w:val="none"/>
        </w:rPr>
        <w:t>其他（投标人认为有必要提供的声明和文件，如有自拟并自行添加）</w:t>
      </w:r>
    </w:p>
    <w:p w14:paraId="0CE78850">
      <w:pPr>
        <w:rPr>
          <w:rFonts w:hint="eastAsia" w:ascii="黑体" w:hAnsi="宋体" w:eastAsia="黑体"/>
          <w:color w:val="auto"/>
          <w:sz w:val="32"/>
          <w:szCs w:val="32"/>
          <w:highlight w:val="none"/>
        </w:rPr>
      </w:pPr>
    </w:p>
    <w:p w14:paraId="09C6D743">
      <w:pPr>
        <w:rPr>
          <w:rFonts w:hint="eastAsia" w:ascii="黑体" w:hAnsi="宋体" w:eastAsia="黑体"/>
          <w:color w:val="auto"/>
          <w:sz w:val="32"/>
          <w:szCs w:val="32"/>
          <w:highlight w:val="none"/>
        </w:rPr>
      </w:pPr>
    </w:p>
    <w:p w14:paraId="73ED1BA5">
      <w:pPr>
        <w:rPr>
          <w:color w:val="auto"/>
          <w:highlight w:val="none"/>
        </w:rPr>
      </w:pPr>
    </w:p>
    <w:p w14:paraId="57AB6D65">
      <w:pPr>
        <w:rPr>
          <w:color w:val="auto"/>
          <w:highlight w:val="none"/>
        </w:rPr>
      </w:pPr>
    </w:p>
    <w:sectPr>
      <w:headerReference r:id="rId5" w:type="default"/>
      <w:footerReference r:id="rId6" w:type="default"/>
      <w:pgSz w:w="11906" w:h="16838"/>
      <w:pgMar w:top="1417" w:right="1701"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3825">
    <w:pPr>
      <w:pStyle w:val="10"/>
      <w:pBdr>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5BE7DC">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E5BE7DC">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0084">
    <w:pPr>
      <w:pStyle w:val="10"/>
      <w:framePr w:wrap="around" w:vAnchor="text" w:hAnchor="margin" w:xAlign="center" w:yAlign="top"/>
      <w:pBdr>
        <w:between w:val="none" w:color="auto" w:sz="0" w:space="0"/>
      </w:pBdr>
    </w:pPr>
    <w:r>
      <w:fldChar w:fldCharType="begin"/>
    </w:r>
    <w:r>
      <w:rPr>
        <w:rStyle w:val="21"/>
      </w:rPr>
      <w:instrText xml:space="preserve"> PAGE  </w:instrText>
    </w:r>
    <w:r>
      <w:fldChar w:fldCharType="separate"/>
    </w:r>
    <w:r>
      <w:rPr>
        <w:rStyle w:val="21"/>
      </w:rPr>
      <w:t>- 3 -</w:t>
    </w:r>
    <w:r>
      <w:fldChar w:fldCharType="end"/>
    </w:r>
  </w:p>
  <w:p w14:paraId="7CE0C3C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E815">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EB356">
                          <w:pPr>
                            <w:pStyle w:val="10"/>
                            <w:pBdr>
                              <w:between w:val="none" w:color="auto" w:sz="0" w:space="0"/>
                            </w:pBdr>
                          </w:pPr>
                          <w:r>
                            <w:fldChar w:fldCharType="begin"/>
                          </w:r>
                          <w:r>
                            <w:rPr>
                              <w:rStyle w:val="21"/>
                            </w:rPr>
                            <w:instrText xml:space="preserve"> PAGE  </w:instrText>
                          </w:r>
                          <w:r>
                            <w:fldChar w:fldCharType="separate"/>
                          </w:r>
                          <w:r>
                            <w:rPr>
                              <w:rStyle w:val="21"/>
                            </w:rPr>
                            <w:t>- 14 -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6AEB356">
                    <w:pPr>
                      <w:pStyle w:val="10"/>
                      <w:pBdr>
                        <w:between w:val="none" w:color="auto" w:sz="0" w:space="0"/>
                      </w:pBdr>
                    </w:pPr>
                    <w:r>
                      <w:fldChar w:fldCharType="begin"/>
                    </w:r>
                    <w:r>
                      <w:rPr>
                        <w:rStyle w:val="21"/>
                      </w:rPr>
                      <w:instrText xml:space="preserve"> PAGE  </w:instrText>
                    </w:r>
                    <w:r>
                      <w:fldChar w:fldCharType="separate"/>
                    </w:r>
                    <w:r>
                      <w:rPr>
                        <w:rStyle w:val="21"/>
                      </w:rPr>
                      <w:t>- 14 -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DF24">
    <w:pPr>
      <w:pStyle w:val="12"/>
      <w:pBdr>
        <w:bottom w:val="none" w:color="auto" w:sz="0" w:space="1"/>
      </w:pBdr>
      <w:rPr>
        <w:rFonts w:hint="eastAsia" w:eastAsia="华文新魏"/>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3">
    <w:nsid w:val="0000001E"/>
    <w:multiLevelType w:val="singleLevel"/>
    <w:tmpl w:val="0000001E"/>
    <w:lvl w:ilvl="0" w:tentative="0">
      <w:start w:val="1"/>
      <w:numFmt w:val="decimal"/>
      <w:suff w:val="nothing"/>
      <w:lvlText w:val="（%1）"/>
      <w:lvlJc w:val="left"/>
      <w:pPr>
        <w:ind w:left="0" w:firstLine="420"/>
      </w:pPr>
      <w:rPr>
        <w:rFonts w:hint="default"/>
      </w:rPr>
    </w:lvl>
  </w:abstractNum>
  <w:abstractNum w:abstractNumId="4">
    <w:nsid w:val="0CEF758C"/>
    <w:multiLevelType w:val="singleLevel"/>
    <w:tmpl w:val="0CEF758C"/>
    <w:lvl w:ilvl="0" w:tentative="0">
      <w:start w:val="4"/>
      <w:numFmt w:val="chineseCounting"/>
      <w:suff w:val="nothing"/>
      <w:lvlText w:val="%1、"/>
      <w:lvlJc w:val="left"/>
      <w:rPr>
        <w:rFonts w:hint="eastAsia"/>
      </w:rPr>
    </w:lvl>
  </w:abstractNum>
  <w:abstractNum w:abstractNumId="5">
    <w:nsid w:val="0E50BEC8"/>
    <w:multiLevelType w:val="singleLevel"/>
    <w:tmpl w:val="0E50BEC8"/>
    <w:lvl w:ilvl="0" w:tentative="0">
      <w:start w:val="1"/>
      <w:numFmt w:val="decimal"/>
      <w:suff w:val="nothing"/>
      <w:lvlText w:val="%1、"/>
      <w:lvlJc w:val="left"/>
    </w:lvl>
  </w:abstractNum>
  <w:abstractNum w:abstractNumId="6">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0">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1">
    <w:nsid w:val="59C4F830"/>
    <w:multiLevelType w:val="singleLevel"/>
    <w:tmpl w:val="59C4F830"/>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2">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1"/>
  </w:num>
  <w:num w:numId="2">
    <w:abstractNumId w:val="10"/>
  </w:num>
  <w:num w:numId="3">
    <w:abstractNumId w:val="4"/>
  </w:num>
  <w:num w:numId="4">
    <w:abstractNumId w:val="7"/>
  </w:num>
  <w:num w:numId="5">
    <w:abstractNumId w:val="6"/>
  </w:num>
  <w:num w:numId="6">
    <w:abstractNumId w:val="8"/>
  </w:num>
  <w:num w:numId="7">
    <w:abstractNumId w:val="0"/>
  </w:num>
  <w:num w:numId="8">
    <w:abstractNumId w:val="12"/>
  </w:num>
  <w:num w:numId="9">
    <w:abstractNumId w:val="2"/>
  </w:num>
  <w:num w:numId="10">
    <w:abstractNumId w:val="3"/>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22E7"/>
    <w:rsid w:val="01FB416D"/>
    <w:rsid w:val="04802437"/>
    <w:rsid w:val="0BB144E5"/>
    <w:rsid w:val="0F753717"/>
    <w:rsid w:val="115D26B4"/>
    <w:rsid w:val="13BF2EA3"/>
    <w:rsid w:val="15AE7982"/>
    <w:rsid w:val="16CC77CC"/>
    <w:rsid w:val="1A55341E"/>
    <w:rsid w:val="1C892DA4"/>
    <w:rsid w:val="1DA472E6"/>
    <w:rsid w:val="1DF63C75"/>
    <w:rsid w:val="1F87361B"/>
    <w:rsid w:val="28027A4B"/>
    <w:rsid w:val="2B113490"/>
    <w:rsid w:val="2EA14B1F"/>
    <w:rsid w:val="30790A4C"/>
    <w:rsid w:val="30793384"/>
    <w:rsid w:val="317D5714"/>
    <w:rsid w:val="32897F5E"/>
    <w:rsid w:val="32A360D8"/>
    <w:rsid w:val="33414E17"/>
    <w:rsid w:val="339045ED"/>
    <w:rsid w:val="38C97356"/>
    <w:rsid w:val="39C3492C"/>
    <w:rsid w:val="3A1B6D5E"/>
    <w:rsid w:val="3ACC6031"/>
    <w:rsid w:val="3DF15CE0"/>
    <w:rsid w:val="3FF00E9D"/>
    <w:rsid w:val="404304D0"/>
    <w:rsid w:val="41EA2F35"/>
    <w:rsid w:val="491C63D6"/>
    <w:rsid w:val="4B1A4B97"/>
    <w:rsid w:val="4B3333EF"/>
    <w:rsid w:val="4B942157"/>
    <w:rsid w:val="4C701CF7"/>
    <w:rsid w:val="50A264EA"/>
    <w:rsid w:val="51C13BE7"/>
    <w:rsid w:val="536D7344"/>
    <w:rsid w:val="53B105EF"/>
    <w:rsid w:val="540930C2"/>
    <w:rsid w:val="56404190"/>
    <w:rsid w:val="56B539C6"/>
    <w:rsid w:val="5959496D"/>
    <w:rsid w:val="5B156D22"/>
    <w:rsid w:val="611A7649"/>
    <w:rsid w:val="6194776D"/>
    <w:rsid w:val="63277681"/>
    <w:rsid w:val="634913D5"/>
    <w:rsid w:val="668337DE"/>
    <w:rsid w:val="67426CB6"/>
    <w:rsid w:val="68C2626A"/>
    <w:rsid w:val="6ADE1D2B"/>
    <w:rsid w:val="6DDE1A5F"/>
    <w:rsid w:val="714843DE"/>
    <w:rsid w:val="735072BE"/>
    <w:rsid w:val="73883B17"/>
    <w:rsid w:val="73E436E8"/>
    <w:rsid w:val="74287F81"/>
    <w:rsid w:val="74662CFE"/>
    <w:rsid w:val="7572415F"/>
    <w:rsid w:val="78C243E8"/>
    <w:rsid w:val="7A3570C3"/>
    <w:rsid w:val="7CD9190C"/>
    <w:rsid w:val="7FBA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next w:val="7"/>
    <w:unhideWhenUsed/>
    <w:qFormat/>
    <w:uiPriority w:val="99"/>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7">
    <w:name w:val="envelope return"/>
    <w:basedOn w:val="1"/>
    <w:qFormat/>
    <w:uiPriority w:val="0"/>
    <w:pPr>
      <w:snapToGrid w:val="0"/>
    </w:pPr>
    <w:rPr>
      <w:rFonts w:ascii="Arial" w:hAnsi="Arial"/>
    </w:rPr>
  </w:style>
  <w:style w:type="paragraph" w:styleId="8">
    <w:name w:val="index 4"/>
    <w:basedOn w:val="1"/>
    <w:next w:val="1"/>
    <w:unhideWhenUsed/>
    <w:qFormat/>
    <w:uiPriority w:val="0"/>
    <w:pPr>
      <w:ind w:left="600" w:leftChars="600"/>
    </w:pPr>
  </w:style>
  <w:style w:type="paragraph" w:styleId="9">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0">
    <w:name w:val="footer"/>
    <w:basedOn w:val="1"/>
    <w:next w:val="11"/>
    <w:qFormat/>
    <w:uiPriority w:val="99"/>
    <w:pPr>
      <w:tabs>
        <w:tab w:val="center" w:pos="4153"/>
        <w:tab w:val="right" w:pos="8306"/>
      </w:tabs>
      <w:snapToGrid w:val="0"/>
      <w:jc w:val="left"/>
    </w:pPr>
    <w:rPr>
      <w:sz w:val="18"/>
    </w:rPr>
  </w:style>
  <w:style w:type="paragraph" w:customStyle="1" w:styleId="11">
    <w:name w:val="TOC Heading1"/>
    <w:next w:val="1"/>
    <w:qFormat/>
    <w:uiPriority w:val="0"/>
    <w:pPr>
      <w:wordWrap w:val="0"/>
    </w:pPr>
    <w:rPr>
      <w:rFonts w:ascii="Times New Roman" w:hAnsi="Times New Roman" w:eastAsia="宋体" w:cs="Times New Roman"/>
      <w:sz w:val="32"/>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qFormat/>
    <w:uiPriority w:val="0"/>
    <w:pPr>
      <w:ind w:left="420" w:leftChars="200"/>
    </w:pPr>
  </w:style>
  <w:style w:type="paragraph" w:styleId="16">
    <w:name w:val="Normal (Web)"/>
    <w:basedOn w:val="1"/>
    <w:unhideWhenUsed/>
    <w:qFormat/>
    <w:uiPriority w:val="99"/>
    <w:rPr>
      <w:sz w:val="24"/>
    </w:rPr>
  </w:style>
  <w:style w:type="paragraph" w:styleId="17">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qFormat/>
    <w:uiPriority w:val="0"/>
    <w:rPr>
      <w:color w:val="auto"/>
      <w:u w:val="none"/>
    </w:rPr>
  </w:style>
  <w:style w:type="character" w:styleId="23">
    <w:name w:val="Hyperlink"/>
    <w:basedOn w:val="20"/>
    <w:unhideWhenUsed/>
    <w:qFormat/>
    <w:uiPriority w:val="99"/>
    <w:rPr>
      <w:rFonts w:hint="default" w:ascii="Times New Roman" w:hAnsi="Times New Roman" w:cs="Times New Roman"/>
      <w:color w:val="0000FF"/>
      <w:u w:val="single"/>
    </w:rPr>
  </w:style>
  <w:style w:type="paragraph" w:customStyle="1" w:styleId="24">
    <w:name w:val="普通文字"/>
    <w:basedOn w:val="1"/>
    <w:next w:val="1"/>
    <w:qFormat/>
    <w:uiPriority w:val="0"/>
    <w:rPr>
      <w:rFonts w:ascii="宋体"/>
      <w:kern w:val="0"/>
      <w:sz w:val="24"/>
      <w:u w:val="none" w:color="000000"/>
    </w:rPr>
  </w:style>
  <w:style w:type="paragraph" w:customStyle="1" w:styleId="25">
    <w:name w:val="首行缩进"/>
    <w:basedOn w:val="1"/>
    <w:qFormat/>
    <w:uiPriority w:val="0"/>
    <w:pPr>
      <w:ind w:firstLine="480"/>
      <w:jc w:val="left"/>
    </w:pPr>
    <w:rPr>
      <w:rFonts w:ascii="宋体" w:hAnsi="宋体" w:cs="Calibri"/>
      <w:szCs w:val="21"/>
    </w:rPr>
  </w:style>
  <w:style w:type="paragraph" w:customStyle="1" w:styleId="26">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27">
    <w:name w:val="索引 11"/>
    <w:basedOn w:val="1"/>
    <w:next w:val="1"/>
    <w:qFormat/>
    <w:uiPriority w:val="0"/>
    <w:pPr>
      <w:spacing w:line="360" w:lineRule="auto"/>
    </w:pPr>
    <w:rPr>
      <w:rFonts w:ascii="仿宋_GB2312" w:eastAsia="仿宋_GB2312"/>
      <w:sz w:val="24"/>
    </w:rPr>
  </w:style>
  <w:style w:type="paragraph" w:customStyle="1" w:styleId="28">
    <w:name w:val="纯文本1"/>
    <w:qFormat/>
    <w:uiPriority w:val="0"/>
    <w:pPr>
      <w:widowControl w:val="0"/>
      <w:jc w:val="both"/>
    </w:pPr>
    <w:rPr>
      <w:rFonts w:ascii="宋体" w:hAnsi="Courier New" w:eastAsia="宋体" w:cs="Times New Roman"/>
      <w:kern w:val="2"/>
      <w:sz w:val="21"/>
      <w:szCs w:val="22"/>
      <w:lang w:val="en-US" w:eastAsia="zh-CN" w:bidi="ar-SA"/>
    </w:rPr>
  </w:style>
  <w:style w:type="paragraph" w:customStyle="1" w:styleId="29">
    <w:name w:val="报告文字"/>
    <w:basedOn w:val="1"/>
    <w:next w:val="1"/>
    <w:qFormat/>
    <w:uiPriority w:val="0"/>
    <w:pPr>
      <w:ind w:firstLine="480" w:firstLineChars="200"/>
      <w:jc w:val="left"/>
    </w:pPr>
    <w:rPr>
      <w:kern w:val="0"/>
      <w:sz w:val="24"/>
      <w:szCs w:val="24"/>
    </w:rPr>
  </w:style>
  <w:style w:type="character" w:customStyle="1" w:styleId="30">
    <w:name w:val="标题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18637</Words>
  <Characters>19567</Characters>
  <Lines>0</Lines>
  <Paragraphs>0</Paragraphs>
  <TotalTime>13</TotalTime>
  <ScaleCrop>false</ScaleCrop>
  <LinksUpToDate>false</LinksUpToDate>
  <CharactersWithSpaces>21043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2025-05-30T04:38:00Z</dcterms:created>
  <dc:creator>沈凌烨</dc:creator>
  <cp:lastModifiedBy>代理</cp:lastModifiedBy>
  <dcterms:modified xsi:type="dcterms:W3CDTF">2025-08-22T07:37:56Z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eyJoZGlkIjoiNDhhMmFjZmZiMzdhNWZkNDcwZmYwYzM0YzhhOWMzMzkiLCJ1c2VySWQiOiI4MzAxNzg5ODgifQ==</vt:lpwstr>
  </property>
  <property fmtid="{D5CDD505-2E9C-101B-9397-08002B2CF9AE}" pid="4" name="ICV">
    <vt:lpwstr>1BB42E1FCBFB4F688124B68AEBD16328_13</vt:lpwstr>
  </property>
</Properties>
</file>