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390D20D6">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 xml:space="preserve">宜兴市公用投资管理有限公司太湖内源污染治理（太湖西岸宜兴近岸区域）一期工程造价咨询 </w:t>
      </w:r>
      <w:r>
        <w:rPr>
          <w:rFonts w:ascii="黑体" w:hAnsi="宋体" w:eastAsia="黑体" w:cs="黑体"/>
          <w:b/>
          <w:bCs/>
          <w:color w:val="000000"/>
          <w:sz w:val="44"/>
          <w:szCs w:val="44"/>
        </w:rPr>
        <w:t>招标公告</w:t>
      </w:r>
    </w:p>
    <w:p w14:paraId="66A347F4">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3D9210B8">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宜兴市公用投资管理有限公司太湖内源污染治理（太湖西岸宜兴近岸区域）一期工程造价咨询</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YXGYJT2025053</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 xml:space="preserve">太湖内源污染治理（太湖西岸宜兴近岸区域）一期工程造价咨询 </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75DC4DB1">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本项目预算价及最高限价为：28.12万元；结算审计（建安部分）预算：10.96万元、跟踪审计（建安部分）预算：16.80万元、结算审计（设备费）预算：0.36万元。</w:t>
      </w:r>
    </w:p>
    <w:p w14:paraId="6BADD39A">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（本项目结算审计（建安部分）最高投标比率为40%、跟踪审计（建安部分）最高投标比率为40%、结算审计（设备费）最高投标比率为100%。）</w:t>
      </w:r>
    </w:p>
    <w:p w14:paraId="170626B0">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注：（1）结算审计（建安部分）（结算审计费暂估核减5个点），计算基数暂按10962万元计算：按宜纪[2009]23号文收费标准</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575F075F">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（2）跟踪审计（建安部分）计算基数暂按10962万元计算：按宜纪[2009]23号文收费标准</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165CFBB7">
      <w:pPr>
        <w:snapToGrid w:val="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（3）结算审计（设备费），暂定6份设备类审计：按600元/份*份数</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投标比率</w:t>
      </w: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结算；</w:t>
      </w:r>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795353B2">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①具有独立承担民事责任的能力，具有履行本次招标服务的能力；</w:t>
      </w:r>
    </w:p>
    <w:p w14:paraId="7C7B8548">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②具有良好的商业信誉和健全的财务会计制度；</w:t>
      </w:r>
    </w:p>
    <w:p w14:paraId="25CF939E">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③有依法缴纳税收和社会保障资金的良好记录；</w:t>
      </w:r>
    </w:p>
    <w:p w14:paraId="6258FF6B">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④具有履行合同所必需的设备和专业技术能力；</w:t>
      </w:r>
    </w:p>
    <w:p w14:paraId="522E5733">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⑤不接受联合体，不接受中标后分包；</w:t>
      </w:r>
    </w:p>
    <w:p w14:paraId="6529A7D6">
      <w:pPr>
        <w:pStyle w:val="45"/>
        <w:spacing w:line="276" w:lineRule="auto"/>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⑥</w:t>
      </w:r>
      <w:r>
        <w:rPr>
          <w:rFonts w:hint="eastAsia" w:ascii="仿宋" w:hAnsi="仿宋" w:eastAsia="仿宋" w:cs="仿宋"/>
          <w:color w:val="000000"/>
          <w:kern w:val="0"/>
          <w:sz w:val="32"/>
          <w:szCs w:val="32"/>
          <w:u w:val="none"/>
          <w:lang w:val="en-US" w:eastAsia="zh-CN" w:bidi="ar"/>
        </w:rPr>
        <w:t>良</w:t>
      </w:r>
      <w:r>
        <w:rPr>
          <w:rFonts w:hint="eastAsia" w:ascii="仿宋" w:hAnsi="仿宋" w:eastAsia="仿宋" w:cs="仿宋"/>
          <w:color w:val="000000"/>
          <w:kern w:val="0"/>
          <w:sz w:val="32"/>
          <w:szCs w:val="32"/>
          <w:u w:val="none"/>
          <w:lang w:val="zh-CN" w:eastAsia="zh-CN" w:bidi="ar"/>
        </w:rPr>
        <w:t>好的信用记录</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投标截止时间之前</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未被</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信用中国</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网站</w:t>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fldChar w:fldCharType="begin"/>
      </w:r>
      <w:r>
        <w:rPr>
          <w:rFonts w:hint="eastAsia" w:ascii="仿宋" w:hAnsi="仿宋" w:eastAsia="仿宋" w:cs="仿宋"/>
          <w:color w:val="000000"/>
          <w:kern w:val="0"/>
          <w:sz w:val="32"/>
          <w:szCs w:val="32"/>
          <w:u w:val="none"/>
          <w:lang w:val="en-US" w:eastAsia="zh-CN" w:bidi="ar"/>
        </w:rPr>
        <w:instrText xml:space="preserve"> HYPERLINK "http://www.creditchina.gov.cn" </w:instrText>
      </w:r>
      <w:r>
        <w:rPr>
          <w:rFonts w:hint="eastAsia" w:ascii="仿宋" w:hAnsi="仿宋" w:eastAsia="仿宋" w:cs="仿宋"/>
          <w:color w:val="000000"/>
          <w:kern w:val="0"/>
          <w:sz w:val="32"/>
          <w:szCs w:val="32"/>
          <w:u w:val="none"/>
          <w:lang w:val="zh-CN" w:eastAsia="zh-CN" w:bidi="ar"/>
        </w:rPr>
        <w:fldChar w:fldCharType="separate"/>
      </w:r>
      <w:r>
        <w:rPr>
          <w:rFonts w:hint="eastAsia" w:ascii="仿宋" w:hAnsi="仿宋" w:eastAsia="仿宋" w:cs="仿宋"/>
          <w:color w:val="000000"/>
          <w:kern w:val="0"/>
          <w:sz w:val="32"/>
          <w:szCs w:val="32"/>
          <w:u w:val="none"/>
          <w:lang w:val="en-US" w:eastAsia="zh-CN" w:bidi="ar"/>
        </w:rPr>
        <w:t>www.creditchina.gov.cn</w:t>
      </w:r>
      <w:r>
        <w:rPr>
          <w:rFonts w:hint="eastAsia" w:ascii="仿宋" w:hAnsi="仿宋" w:eastAsia="仿宋" w:cs="仿宋"/>
          <w:color w:val="000000"/>
          <w:kern w:val="0"/>
          <w:sz w:val="32"/>
          <w:szCs w:val="32"/>
          <w:u w:val="none"/>
          <w:lang w:val="zh-CN" w:eastAsia="zh-CN" w:bidi="ar"/>
        </w:rPr>
        <w:fldChar w:fldCharType="end"/>
      </w:r>
      <w:r>
        <w:rPr>
          <w:rFonts w:hint="eastAsia" w:ascii="仿宋" w:hAnsi="仿宋" w:eastAsia="仿宋" w:cs="仿宋"/>
          <w:color w:val="000000"/>
          <w:kern w:val="0"/>
          <w:sz w:val="32"/>
          <w:szCs w:val="32"/>
          <w:u w:val="none"/>
          <w:lang w:val="en-US" w:eastAsia="zh-CN" w:bidi="ar"/>
        </w:rPr>
        <w:t>）</w:t>
      </w:r>
      <w:r>
        <w:rPr>
          <w:rFonts w:hint="eastAsia" w:ascii="仿宋" w:hAnsi="仿宋" w:eastAsia="仿宋" w:cs="仿宋"/>
          <w:color w:val="000000"/>
          <w:kern w:val="0"/>
          <w:sz w:val="32"/>
          <w:szCs w:val="32"/>
          <w:u w:val="none"/>
          <w:lang w:val="zh-CN" w:eastAsia="zh-CN" w:bidi="ar"/>
        </w:rPr>
        <w:t>列入失信执行人、重大税收违法案件当事人名单、政府采购严重违法失信行为记录名单，未被“中国政府采购网”网站（www.ccgp.gov.cn）列入政府采购严重违法失信行为记录名单。</w:t>
      </w:r>
    </w:p>
    <w:p w14:paraId="4690FA25">
      <w:pPr>
        <w:pStyle w:val="45"/>
        <w:bidi w:val="0"/>
        <w:rPr>
          <w:rFonts w:hint="eastAsia" w:ascii="仿宋" w:hAnsi="仿宋" w:eastAsia="仿宋" w:cs="仿宋"/>
          <w:color w:val="000000"/>
          <w:kern w:val="0"/>
          <w:sz w:val="32"/>
          <w:szCs w:val="32"/>
          <w:u w:val="none"/>
          <w:lang w:val="zh-CN" w:eastAsia="zh-CN" w:bidi="ar"/>
        </w:rPr>
      </w:pPr>
      <w:r>
        <w:rPr>
          <w:rFonts w:hint="eastAsia" w:ascii="仿宋" w:hAnsi="仿宋" w:eastAsia="仿宋" w:cs="仿宋"/>
          <w:color w:val="000000"/>
          <w:kern w:val="0"/>
          <w:sz w:val="32"/>
          <w:szCs w:val="32"/>
          <w:u w:val="none"/>
          <w:lang w:val="zh-CN" w:eastAsia="zh-CN" w:bidi="ar"/>
        </w:rPr>
        <w:t>⑦投标人拟派的项目负责人</w:t>
      </w:r>
      <w:r>
        <w:rPr>
          <w:rFonts w:hint="eastAsia" w:ascii="仿宋" w:hAnsi="仿宋" w:eastAsia="仿宋" w:cs="仿宋"/>
          <w:color w:val="000000"/>
          <w:kern w:val="0"/>
          <w:sz w:val="32"/>
          <w:szCs w:val="32"/>
          <w:u w:val="none"/>
          <w:lang w:val="en-US" w:eastAsia="zh-CN" w:bidi="ar"/>
        </w:rPr>
        <w:t>近三年来（2022年3月1日以来）</w:t>
      </w:r>
      <w:r>
        <w:rPr>
          <w:rFonts w:hint="eastAsia" w:ascii="仿宋" w:hAnsi="仿宋" w:eastAsia="仿宋" w:cs="仿宋"/>
          <w:color w:val="000000"/>
          <w:kern w:val="0"/>
          <w:sz w:val="32"/>
          <w:szCs w:val="32"/>
          <w:u w:val="none"/>
          <w:lang w:val="zh-CN" w:eastAsia="zh-CN" w:bidi="ar"/>
        </w:rPr>
        <w:t>承担过清淤工程造价咨询业绩（同时提供中标通知书（或成交通知书）原件、造价咨询合同原件、结算审核报告原件）</w:t>
      </w:r>
    </w:p>
    <w:p w14:paraId="0C329866">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Times New Roman" w:eastAsia="宋体" w:cs="Times New Roman"/>
          <w:highlight w:val="none"/>
          <w:lang w:val="zh-CN"/>
        </w:rPr>
      </w:pPr>
      <w:r>
        <w:rPr>
          <w:rFonts w:hint="eastAsia" w:ascii="仿宋" w:hAnsi="仿宋" w:eastAsia="仿宋" w:cs="仿宋"/>
          <w:color w:val="000000"/>
          <w:kern w:val="0"/>
          <w:sz w:val="32"/>
          <w:szCs w:val="32"/>
          <w:u w:val="none"/>
          <w:lang w:val="zh-CN" w:eastAsia="zh-CN" w:bidi="ar"/>
        </w:rPr>
        <w:t>⑧投标人造价项目负责人具备一级水利造价师及水利部颁发的注册监理工程师</w:t>
      </w:r>
      <w:r>
        <w:rPr>
          <w:rFonts w:hint="eastAsia" w:ascii="宋体" w:hAnsi="Times New Roman" w:eastAsia="宋体" w:cs="Times New Roman"/>
          <w:highlight w:val="none"/>
          <w:lang w:val="zh-CN"/>
        </w:rPr>
        <w:t>(水利专业)。</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1、提交投标文件截止及开标时间：2025年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9</w:t>
      </w:r>
      <w:bookmarkStart w:id="0" w:name="_GoBack"/>
      <w:bookmarkEnd w:id="0"/>
      <w:r>
        <w:rPr>
          <w:rFonts w:hint="eastAsia" w:ascii="仿宋" w:hAnsi="仿宋" w:eastAsia="仿宋" w:cs="仿宋"/>
          <w:color w:val="000000"/>
          <w:sz w:val="32"/>
          <w:szCs w:val="32"/>
        </w:rPr>
        <w:t>:00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2、确定采购结果时间：评审结束后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4、其他有关事项：截止期后的投标文件或未按招标文件规定密封的投标文件，恕不接受</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四、公告期限：</w:t>
      </w: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日到2025年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5D02F79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招标人：宜兴市公用投资管理有限公司</w:t>
            </w:r>
          </w:p>
          <w:p w14:paraId="0FA036C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联系人：刘先生，梁先生</w:t>
            </w:r>
          </w:p>
          <w:p w14:paraId="42853DB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联系电话：0510-80718867，0510-80718723</w:t>
            </w:r>
          </w:p>
          <w:p w14:paraId="6CB437FA">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联系地址：中国宜兴环保科技工业园科技孵化园（无锡市）</w:t>
            </w:r>
          </w:p>
          <w:p w14:paraId="0BEA3FE6">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51C63FDD">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联系人：刘先生，18861558989</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宜兴市公用投资管理有限公司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8E30050"/>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C50688"/>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BF0085"/>
    <w:rsid w:val="3612319D"/>
    <w:rsid w:val="362F33E8"/>
    <w:rsid w:val="36672031"/>
    <w:rsid w:val="368435EA"/>
    <w:rsid w:val="36B54BF8"/>
    <w:rsid w:val="3715147A"/>
    <w:rsid w:val="37384506"/>
    <w:rsid w:val="373A0C1E"/>
    <w:rsid w:val="376B0DD8"/>
    <w:rsid w:val="37D379A9"/>
    <w:rsid w:val="386A72E1"/>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D075DE"/>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920DD3"/>
    <w:rsid w:val="7C937D88"/>
    <w:rsid w:val="7CD50BD5"/>
    <w:rsid w:val="7D0306DA"/>
    <w:rsid w:val="7D144061"/>
    <w:rsid w:val="7D3D41B9"/>
    <w:rsid w:val="7D4960AF"/>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rFonts w:cs="Times New Roman"/>
    </w:rPr>
  </w:style>
  <w:style w:type="paragraph" w:styleId="13">
    <w:name w:val="annotation text"/>
    <w:basedOn w:val="1"/>
    <w:qFormat/>
    <w:uiPriority w:val="0"/>
    <w:pPr>
      <w:jc w:val="left"/>
    </w:pPr>
  </w:style>
  <w:style w:type="paragraph" w:styleId="14">
    <w:name w:val="Body Text"/>
    <w:basedOn w:val="1"/>
    <w:qFormat/>
    <w:uiPriority w:val="0"/>
    <w:rPr>
      <w:rFonts w:cs="Times New Roman"/>
      <w:sz w:val="20"/>
      <w:szCs w:val="20"/>
    </w:r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2"/>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3"/>
    <w:next w:val="29"/>
    <w:qFormat/>
    <w:uiPriority w:val="0"/>
    <w:rPr>
      <w:b/>
      <w:bCs/>
    </w:rPr>
  </w:style>
  <w:style w:type="paragraph" w:customStyle="1" w:styleId="29">
    <w:name w:val="Plain Text1"/>
    <w:basedOn w:val="1"/>
    <w:next w:val="11"/>
    <w:qFormat/>
    <w:uiPriority w:val="0"/>
    <w:pPr>
      <w:spacing w:line="360" w:lineRule="auto"/>
      <w:ind w:firstLine="3584"/>
    </w:pPr>
  </w:style>
  <w:style w:type="paragraph" w:styleId="30">
    <w:name w:val="Body Text First Indent"/>
    <w:basedOn w:val="14"/>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2"/>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Pages>
  <Words>1500</Words>
  <Characters>1625</Characters>
  <Lines>248</Lines>
  <Paragraphs>69</Paragraphs>
  <TotalTime>0</TotalTime>
  <ScaleCrop>false</ScaleCrop>
  <LinksUpToDate>false</LinksUpToDate>
  <CharactersWithSpaces>1629</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代理</cp:lastModifiedBy>
  <cp:lastPrinted>2024-11-04T02:20:00Z</cp:lastPrinted>
  <dcterms:modified xsi:type="dcterms:W3CDTF">2025-02-28T07:41:32Z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D4CD136FC73B429DBBCED747BB533D65_13</vt:lpwstr>
  </property>
  <property fmtid="{D5CDD505-2E9C-101B-9397-08002B2CF9AE}" pid="4" name="KSOTemplateDocerSaveRecord">
    <vt:lpwstr>eyJoZGlkIjoiNDhhMmFjZmZiMzdhNWZkNDcwZmYwYzM0YzhhOWMzMzkiLCJ1c2VySWQiOiI4MzAxNzg5ODgifQ==</vt:lpwstr>
  </property>
</Properties>
</file>