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DAD7E">
      <w:pPr>
        <w:spacing w:line="5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宜兴市东氿水下森林项目工程全过程工程咨询服务</w:t>
      </w:r>
      <w:r>
        <w:rPr>
          <w:rFonts w:hint="eastAsia" w:ascii="宋体" w:hAnsi="宋体" w:eastAsia="宋体" w:cs="宋体"/>
          <w:sz w:val="28"/>
          <w:szCs w:val="28"/>
          <w:highlight w:val="none"/>
        </w:rPr>
        <w:t>招标公告</w:t>
      </w:r>
    </w:p>
    <w:p w14:paraId="670AB928">
      <w:pPr>
        <w:spacing w:line="580" w:lineRule="exact"/>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标段编号：</w:t>
      </w:r>
      <w:r>
        <w:rPr>
          <w:rFonts w:hint="eastAsia" w:ascii="宋体" w:hAnsi="宋体" w:eastAsia="宋体" w:cs="宋体"/>
          <w:sz w:val="28"/>
          <w:szCs w:val="28"/>
          <w:highlight w:val="none"/>
          <w:lang w:eastAsia="zh-CN"/>
        </w:rPr>
        <w:t>YXGYJT202501007</w:t>
      </w:r>
    </w:p>
    <w:p w14:paraId="216E2533">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0" w:name="_Toc20288"/>
      <w:bookmarkStart w:id="1" w:name="_Toc12725"/>
      <w:bookmarkStart w:id="2" w:name="_Toc398107827"/>
      <w:bookmarkStart w:id="3" w:name="_Toc93403939"/>
      <w:r>
        <w:rPr>
          <w:rFonts w:hint="eastAsia" w:ascii="宋体" w:hAnsi="宋体" w:eastAsia="宋体" w:cs="宋体"/>
          <w:b/>
          <w:kern w:val="0"/>
          <w:sz w:val="28"/>
          <w:szCs w:val="28"/>
          <w:highlight w:val="none"/>
          <w:lang w:val="en-US" w:eastAsia="zh-CN" w:bidi="ar-SA"/>
        </w:rPr>
        <w:t>1.招标条件</w:t>
      </w:r>
      <w:bookmarkEnd w:id="0"/>
      <w:bookmarkEnd w:id="1"/>
      <w:bookmarkEnd w:id="2"/>
      <w:bookmarkEnd w:id="3"/>
    </w:p>
    <w:p w14:paraId="1995DE10">
      <w:pPr>
        <w:spacing w:line="580" w:lineRule="exact"/>
        <w:ind w:firstLine="560" w:firstLineChars="200"/>
        <w:jc w:val="left"/>
        <w:rPr>
          <w:rFonts w:hint="eastAsia" w:ascii="宋体" w:hAnsi="宋体" w:eastAsia="宋体" w:cs="宋体"/>
          <w:sz w:val="28"/>
          <w:szCs w:val="28"/>
          <w:highlight w:val="none"/>
        </w:rPr>
      </w:pPr>
      <w:bookmarkStart w:id="4" w:name="_Toc398107828"/>
      <w:r>
        <w:rPr>
          <w:rFonts w:hint="eastAsia" w:ascii="宋体" w:hAnsi="宋体" w:eastAsia="宋体" w:cs="宋体"/>
          <w:sz w:val="28"/>
          <w:szCs w:val="28"/>
          <w:highlight w:val="none"/>
        </w:rPr>
        <w:t>本招标项目</w:t>
      </w:r>
      <w:r>
        <w:rPr>
          <w:rFonts w:hint="eastAsia" w:ascii="宋体" w:hAnsi="宋体" w:eastAsia="宋体" w:cs="宋体"/>
          <w:sz w:val="28"/>
          <w:szCs w:val="28"/>
          <w:highlight w:val="none"/>
          <w:u w:val="single"/>
          <w:lang w:eastAsia="zh-CN"/>
        </w:rPr>
        <w:t>宜兴市东氿水下森林项目</w:t>
      </w:r>
      <w:r>
        <w:rPr>
          <w:rFonts w:hint="eastAsia" w:ascii="宋体" w:hAnsi="宋体" w:eastAsia="宋体" w:cs="宋体"/>
          <w:sz w:val="28"/>
          <w:szCs w:val="28"/>
          <w:highlight w:val="none"/>
        </w:rPr>
        <w:t>已由</w:t>
      </w:r>
      <w:r>
        <w:rPr>
          <w:rFonts w:hint="eastAsia" w:ascii="宋体" w:hAnsi="宋体" w:eastAsia="宋体" w:cs="宋体"/>
          <w:sz w:val="28"/>
          <w:szCs w:val="28"/>
          <w:highlight w:val="none"/>
          <w:u w:val="single"/>
        </w:rPr>
        <w:t>宜兴市数据局</w:t>
      </w:r>
      <w:r>
        <w:rPr>
          <w:rFonts w:hint="eastAsia" w:ascii="宋体" w:hAnsi="宋体" w:eastAsia="宋体" w:cs="宋体"/>
          <w:sz w:val="28"/>
          <w:szCs w:val="28"/>
          <w:highlight w:val="none"/>
        </w:rPr>
        <w:t>以</w:t>
      </w:r>
      <w:r>
        <w:rPr>
          <w:rFonts w:hint="eastAsia" w:ascii="宋体" w:hAnsi="宋体" w:eastAsia="宋体" w:cs="宋体"/>
          <w:sz w:val="28"/>
          <w:szCs w:val="28"/>
          <w:highlight w:val="none"/>
          <w:u w:val="single"/>
        </w:rPr>
        <w:t>宜数投备[2024]</w:t>
      </w:r>
      <w:r>
        <w:rPr>
          <w:rFonts w:hint="eastAsia" w:ascii="宋体" w:hAnsi="宋体" w:eastAsia="宋体" w:cs="宋体"/>
          <w:sz w:val="28"/>
          <w:szCs w:val="28"/>
          <w:highlight w:val="none"/>
          <w:u w:val="single"/>
          <w:lang w:val="en-US" w:eastAsia="zh-CN"/>
        </w:rPr>
        <w:t>492</w:t>
      </w:r>
      <w:r>
        <w:rPr>
          <w:rFonts w:hint="eastAsia" w:ascii="宋体" w:hAnsi="宋体" w:eastAsia="宋体" w:cs="宋体"/>
          <w:sz w:val="28"/>
          <w:szCs w:val="28"/>
          <w:highlight w:val="none"/>
          <w:u w:val="single"/>
        </w:rPr>
        <w:t>号</w:t>
      </w:r>
      <w:r>
        <w:rPr>
          <w:rFonts w:hint="eastAsia" w:ascii="宋体" w:hAnsi="宋体" w:eastAsia="宋体" w:cs="宋体"/>
          <w:sz w:val="28"/>
          <w:szCs w:val="28"/>
          <w:highlight w:val="none"/>
        </w:rPr>
        <w:t>批准建设，项目业主为</w:t>
      </w:r>
      <w:r>
        <w:rPr>
          <w:rFonts w:hint="eastAsia" w:ascii="宋体" w:hAnsi="宋体" w:eastAsia="宋体" w:cs="宋体"/>
          <w:sz w:val="28"/>
          <w:szCs w:val="28"/>
          <w:highlight w:val="none"/>
          <w:u w:val="single"/>
        </w:rPr>
        <w:t>宜兴市环保集团有限公司</w:t>
      </w:r>
      <w:r>
        <w:rPr>
          <w:rFonts w:hint="eastAsia" w:ascii="宋体" w:hAnsi="宋体" w:eastAsia="宋体" w:cs="宋体"/>
          <w:sz w:val="28"/>
          <w:szCs w:val="28"/>
          <w:highlight w:val="none"/>
        </w:rPr>
        <w:t>，招标代理机构为</w:t>
      </w:r>
      <w:r>
        <w:rPr>
          <w:rFonts w:hint="eastAsia" w:ascii="宋体" w:hAnsi="宋体" w:eastAsia="宋体" w:cs="宋体"/>
          <w:sz w:val="28"/>
          <w:szCs w:val="28"/>
          <w:highlight w:val="none"/>
          <w:u w:val="single"/>
        </w:rPr>
        <w:t>江苏鸿成工程项目管理有限公司</w:t>
      </w:r>
      <w:r>
        <w:rPr>
          <w:rFonts w:hint="eastAsia" w:ascii="宋体" w:hAnsi="宋体" w:eastAsia="宋体" w:cs="宋体"/>
          <w:sz w:val="28"/>
          <w:szCs w:val="28"/>
          <w:highlight w:val="none"/>
        </w:rPr>
        <w:t>，建设资金来自</w:t>
      </w:r>
      <w:r>
        <w:rPr>
          <w:rFonts w:hint="eastAsia" w:ascii="宋体" w:hAnsi="宋体" w:eastAsia="宋体" w:cs="宋体"/>
          <w:sz w:val="28"/>
          <w:szCs w:val="28"/>
          <w:highlight w:val="none"/>
          <w:u w:val="single"/>
        </w:rPr>
        <w:t>自筹</w:t>
      </w:r>
      <w:r>
        <w:rPr>
          <w:rFonts w:hint="eastAsia" w:ascii="宋体" w:hAnsi="宋体" w:eastAsia="宋体" w:cs="宋体"/>
          <w:sz w:val="28"/>
          <w:szCs w:val="28"/>
          <w:highlight w:val="none"/>
        </w:rPr>
        <w:t>。项目已具备招标条件，现对该项目的</w:t>
      </w:r>
      <w:r>
        <w:rPr>
          <w:rFonts w:hint="eastAsia" w:ascii="宋体" w:hAnsi="宋体" w:eastAsia="宋体" w:cs="宋体"/>
          <w:sz w:val="28"/>
          <w:szCs w:val="28"/>
          <w:highlight w:val="none"/>
          <w:u w:val="single"/>
        </w:rPr>
        <w:t>全过程工程咨询服务</w:t>
      </w:r>
      <w:r>
        <w:rPr>
          <w:rFonts w:hint="eastAsia" w:ascii="宋体" w:hAnsi="宋体" w:eastAsia="宋体" w:cs="宋体"/>
          <w:sz w:val="28"/>
          <w:szCs w:val="28"/>
          <w:highlight w:val="none"/>
        </w:rPr>
        <w:t>进行公开招标，采用</w:t>
      </w:r>
      <w:r>
        <w:rPr>
          <w:rFonts w:hint="eastAsia" w:ascii="宋体" w:hAnsi="宋体" w:eastAsia="宋体" w:cs="宋体"/>
          <w:sz w:val="28"/>
          <w:szCs w:val="28"/>
          <w:highlight w:val="none"/>
          <w:u w:val="single"/>
        </w:rPr>
        <w:t>资格后审</w:t>
      </w:r>
      <w:r>
        <w:rPr>
          <w:rFonts w:hint="eastAsia" w:ascii="宋体" w:hAnsi="宋体" w:eastAsia="宋体" w:cs="宋体"/>
          <w:sz w:val="28"/>
          <w:szCs w:val="28"/>
          <w:highlight w:val="none"/>
        </w:rPr>
        <w:t>办法选择合格的投标人参加投标。</w:t>
      </w:r>
    </w:p>
    <w:p w14:paraId="2574B8B2">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5" w:name="_Toc10058"/>
      <w:bookmarkStart w:id="6" w:name="_Toc93403940"/>
      <w:bookmarkStart w:id="7" w:name="_Toc29834"/>
      <w:r>
        <w:rPr>
          <w:rFonts w:hint="eastAsia" w:ascii="宋体" w:hAnsi="宋体" w:eastAsia="宋体" w:cs="宋体"/>
          <w:b/>
          <w:kern w:val="0"/>
          <w:sz w:val="28"/>
          <w:szCs w:val="28"/>
          <w:highlight w:val="none"/>
          <w:lang w:val="en-US" w:eastAsia="zh-CN" w:bidi="ar-SA"/>
        </w:rPr>
        <w:t>2.项目概况与招标范围</w:t>
      </w:r>
      <w:bookmarkEnd w:id="4"/>
      <w:bookmarkEnd w:id="5"/>
      <w:bookmarkEnd w:id="6"/>
      <w:bookmarkEnd w:id="7"/>
    </w:p>
    <w:p w14:paraId="09DE56F0">
      <w:pPr>
        <w:adjustRightInd w:val="0"/>
        <w:snapToGrid w:val="0"/>
        <w:spacing w:line="580" w:lineRule="exact"/>
        <w:ind w:firstLine="560" w:firstLineChars="200"/>
        <w:jc w:val="left"/>
        <w:rPr>
          <w:rFonts w:hint="eastAsia" w:ascii="宋体" w:hAnsi="宋体" w:eastAsia="宋体" w:cs="宋体"/>
          <w:sz w:val="28"/>
          <w:szCs w:val="28"/>
          <w:highlight w:val="none"/>
        </w:rPr>
      </w:pPr>
      <w:bookmarkStart w:id="8" w:name="_Toc398107829"/>
      <w:r>
        <w:rPr>
          <w:rFonts w:hint="eastAsia" w:ascii="宋体" w:hAnsi="宋体" w:eastAsia="宋体" w:cs="宋体"/>
          <w:sz w:val="28"/>
          <w:szCs w:val="28"/>
          <w:highlight w:val="none"/>
        </w:rPr>
        <w:t>2.1项目概况</w:t>
      </w:r>
    </w:p>
    <w:p w14:paraId="31B9F999">
      <w:pPr>
        <w:adjustRightInd w:val="0"/>
        <w:snapToGrid w:val="0"/>
        <w:spacing w:line="580" w:lineRule="exact"/>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2.1.1建设地点：</w:t>
      </w:r>
      <w:r>
        <w:rPr>
          <w:rFonts w:hint="eastAsia" w:ascii="宋体" w:hAnsi="宋体" w:eastAsia="宋体" w:cs="宋体"/>
          <w:sz w:val="28"/>
          <w:szCs w:val="28"/>
          <w:highlight w:val="none"/>
          <w:u w:val="single"/>
        </w:rPr>
        <w:t>无锡市-宜兴市-</w:t>
      </w:r>
      <w:r>
        <w:rPr>
          <w:rFonts w:hint="eastAsia" w:ascii="宋体" w:hAnsi="宋体" w:eastAsia="宋体" w:cs="宋体"/>
          <w:sz w:val="28"/>
          <w:szCs w:val="28"/>
          <w:highlight w:val="none"/>
          <w:u w:val="single"/>
          <w:lang w:val="en-US" w:eastAsia="zh-CN"/>
        </w:rPr>
        <w:t>东氿</w:t>
      </w:r>
      <w:r>
        <w:rPr>
          <w:rFonts w:hint="eastAsia" w:ascii="宋体" w:hAnsi="宋体" w:eastAsia="宋体" w:cs="宋体"/>
          <w:sz w:val="28"/>
          <w:szCs w:val="28"/>
          <w:highlight w:val="none"/>
          <w:u w:val="single"/>
        </w:rPr>
        <w:t>。</w:t>
      </w:r>
    </w:p>
    <w:p w14:paraId="46A93634">
      <w:pPr>
        <w:adjustRightInd w:val="0"/>
        <w:snapToGrid w:val="0"/>
        <w:spacing w:line="500" w:lineRule="exact"/>
        <w:ind w:firstLine="560" w:firstLineChars="200"/>
        <w:jc w:val="left"/>
        <w:rPr>
          <w:rFonts w:hint="eastAsia" w:ascii="宋体" w:hAnsi="宋体" w:eastAsia="宋体" w:cs="宋体"/>
          <w:color w:val="000000"/>
          <w:sz w:val="28"/>
          <w:szCs w:val="28"/>
          <w:highlight w:val="none"/>
          <w:u w:val="single"/>
        </w:rPr>
      </w:pPr>
      <w:r>
        <w:rPr>
          <w:rFonts w:hint="eastAsia" w:ascii="宋体" w:hAnsi="宋体" w:eastAsia="宋体" w:cs="宋体"/>
          <w:sz w:val="28"/>
          <w:szCs w:val="28"/>
          <w:highlight w:val="none"/>
        </w:rPr>
        <w:t>2.1.2建设规模：</w:t>
      </w:r>
      <w:r>
        <w:rPr>
          <w:rFonts w:hint="eastAsia" w:ascii="宋体" w:hAnsi="宋体" w:eastAsia="宋体" w:cs="宋体"/>
          <w:sz w:val="28"/>
          <w:szCs w:val="28"/>
          <w:highlight w:val="none"/>
          <w:u w:val="single"/>
          <w:lang w:val="en-US" w:eastAsia="zh-CN"/>
        </w:rPr>
        <w:t>本项目分为核心区、入河口和洪巷港三个区域，通过沉水植物种植等措施构建人工湿地，改善东氿等水系的水质，本工程养护期为三年，主要内容包括：东氿核心区域建设308 亩沉水植物；入河口建设247亩生态净化区，洪巷港三支支浜构建11 亩的生态净化区。</w:t>
      </w:r>
    </w:p>
    <w:p w14:paraId="649137A3">
      <w:pPr>
        <w:adjustRightInd w:val="0"/>
        <w:snapToGrid w:val="0"/>
        <w:spacing w:line="580" w:lineRule="exact"/>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2.1.3项目投资估算：</w:t>
      </w:r>
      <w:r>
        <w:rPr>
          <w:rFonts w:hint="eastAsia" w:ascii="宋体" w:hAnsi="宋体" w:eastAsia="宋体" w:cs="宋体"/>
          <w:sz w:val="28"/>
          <w:szCs w:val="28"/>
          <w:highlight w:val="none"/>
          <w:u w:val="single"/>
        </w:rPr>
        <w:t>约</w:t>
      </w:r>
      <w:r>
        <w:rPr>
          <w:rFonts w:hint="eastAsia" w:ascii="宋体" w:hAnsi="宋体" w:eastAsia="宋体" w:cs="宋体"/>
          <w:sz w:val="28"/>
          <w:szCs w:val="28"/>
          <w:highlight w:val="none"/>
          <w:u w:val="single"/>
          <w:lang w:val="en-US" w:eastAsia="zh-CN"/>
        </w:rPr>
        <w:t>3481.5</w:t>
      </w:r>
      <w:r>
        <w:rPr>
          <w:rFonts w:hint="eastAsia" w:ascii="宋体" w:hAnsi="宋体" w:eastAsia="宋体" w:cs="宋体"/>
          <w:sz w:val="28"/>
          <w:szCs w:val="28"/>
          <w:highlight w:val="none"/>
          <w:u w:val="single"/>
        </w:rPr>
        <w:t>万元</w:t>
      </w:r>
      <w:r>
        <w:rPr>
          <w:rFonts w:hint="eastAsia" w:ascii="宋体" w:hAnsi="宋体" w:eastAsia="宋体" w:cs="宋体"/>
          <w:sz w:val="28"/>
          <w:szCs w:val="28"/>
          <w:highlight w:val="none"/>
          <w:u w:val="single"/>
          <w:lang w:eastAsia="zh-CN"/>
        </w:rPr>
        <w:t>（</w:t>
      </w:r>
      <w:r>
        <w:rPr>
          <w:rFonts w:hint="eastAsia" w:ascii="宋体" w:hAnsi="宋体" w:eastAsia="宋体" w:cs="宋体"/>
          <w:sz w:val="28"/>
          <w:szCs w:val="28"/>
          <w:highlight w:val="none"/>
          <w:u w:val="single"/>
          <w:lang w:val="en-US" w:eastAsia="zh-CN"/>
        </w:rPr>
        <w:t>其中建安费约为3020.88万元</w:t>
      </w:r>
      <w:r>
        <w:rPr>
          <w:rFonts w:hint="eastAsia" w:ascii="宋体" w:hAnsi="宋体" w:eastAsia="宋体" w:cs="宋体"/>
          <w:sz w:val="28"/>
          <w:szCs w:val="28"/>
          <w:highlight w:val="none"/>
          <w:u w:val="single"/>
          <w:lang w:eastAsia="zh-CN"/>
        </w:rPr>
        <w:t>）</w:t>
      </w:r>
      <w:r>
        <w:rPr>
          <w:rFonts w:hint="eastAsia" w:ascii="宋体" w:hAnsi="宋体" w:eastAsia="宋体" w:cs="宋体"/>
          <w:sz w:val="28"/>
          <w:szCs w:val="28"/>
          <w:highlight w:val="none"/>
          <w:u w:val="single"/>
        </w:rPr>
        <w:t>。</w:t>
      </w:r>
    </w:p>
    <w:p w14:paraId="321064BF">
      <w:pPr>
        <w:adjustRightInd w:val="0"/>
        <w:snapToGrid w:val="0"/>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2.1.4咨询合同估算价：</w:t>
      </w:r>
      <w:r>
        <w:rPr>
          <w:rFonts w:hint="eastAsia" w:ascii="宋体" w:hAnsi="宋体" w:eastAsia="宋体" w:cs="宋体"/>
          <w:sz w:val="28"/>
          <w:szCs w:val="28"/>
          <w:highlight w:val="none"/>
          <w:u w:val="single"/>
        </w:rPr>
        <w:t>约</w:t>
      </w:r>
      <w:r>
        <w:rPr>
          <w:rFonts w:hint="eastAsia" w:ascii="宋体" w:hAnsi="宋体" w:eastAsia="宋体" w:cs="宋体"/>
          <w:sz w:val="28"/>
          <w:szCs w:val="28"/>
          <w:highlight w:val="none"/>
          <w:u w:val="single"/>
          <w:lang w:val="en-US" w:eastAsia="zh-CN"/>
        </w:rPr>
        <w:t>49.58</w:t>
      </w:r>
      <w:r>
        <w:rPr>
          <w:rFonts w:hint="eastAsia" w:ascii="宋体" w:hAnsi="宋体" w:eastAsia="宋体" w:cs="宋体"/>
          <w:sz w:val="28"/>
          <w:szCs w:val="28"/>
          <w:highlight w:val="none"/>
          <w:u w:val="single"/>
        </w:rPr>
        <w:t>万元。</w:t>
      </w:r>
    </w:p>
    <w:p w14:paraId="39F5C8E1">
      <w:pPr>
        <w:snapToGrid w:val="0"/>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2.1.5全过程工程咨询服务期要求：</w:t>
      </w:r>
      <w:r>
        <w:rPr>
          <w:rFonts w:hint="eastAsia" w:ascii="宋体" w:hAnsi="宋体" w:eastAsia="宋体" w:cs="宋体"/>
          <w:snapToGrid w:val="0"/>
          <w:kern w:val="0"/>
          <w:sz w:val="28"/>
          <w:szCs w:val="28"/>
          <w:highlight w:val="none"/>
          <w:u w:val="single"/>
        </w:rPr>
        <w:t>合同签订之日开始实施，至工程审计报告提交之日终结（最终按本项目实际实施时间为准。）</w:t>
      </w:r>
    </w:p>
    <w:p w14:paraId="2528433F">
      <w:pPr>
        <w:numPr>
          <w:ilvl w:val="0"/>
          <w:numId w:val="1"/>
        </w:numPr>
        <w:adjustRightInd w:val="0"/>
        <w:snapToGrid w:val="0"/>
        <w:spacing w:line="580" w:lineRule="exact"/>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工程造价咨询期限：合同签订之日起至工程造价结算审计结束止；</w:t>
      </w:r>
    </w:p>
    <w:p w14:paraId="14A883C2">
      <w:pPr>
        <w:adjustRightInd w:val="0"/>
        <w:snapToGrid w:val="0"/>
        <w:spacing w:line="580" w:lineRule="exact"/>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（2）工程监理服务期限：合同签订之日起至项目竣工验收止；</w:t>
      </w:r>
    </w:p>
    <w:p w14:paraId="1FD361FA">
      <w:pPr>
        <w:adjustRightInd w:val="0"/>
        <w:snapToGrid w:val="0"/>
        <w:spacing w:line="580" w:lineRule="exact"/>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（3）项目管理服务期限：合同签订之日起至项目竣工验收止。同时必须满足项目实际进展情况以及相关的法律法规规定。</w:t>
      </w:r>
    </w:p>
    <w:p w14:paraId="0B6265A7">
      <w:pPr>
        <w:adjustRightInd w:val="0"/>
        <w:snapToGrid w:val="0"/>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2.1.6工作质量目标：</w:t>
      </w:r>
      <w:r>
        <w:rPr>
          <w:rFonts w:hint="eastAsia" w:ascii="宋体" w:hAnsi="宋体" w:eastAsia="宋体" w:cs="宋体"/>
          <w:sz w:val="28"/>
          <w:szCs w:val="28"/>
          <w:highlight w:val="none"/>
          <w:u w:val="single"/>
        </w:rPr>
        <w:t>符合相关规定。</w:t>
      </w:r>
    </w:p>
    <w:p w14:paraId="58E26320">
      <w:pPr>
        <w:adjustRightInd w:val="0"/>
        <w:snapToGrid w:val="0"/>
        <w:spacing w:line="580" w:lineRule="exact"/>
        <w:ind w:firstLine="565" w:firstLineChars="202"/>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2.2招标范围：</w:t>
      </w:r>
      <w:r>
        <w:rPr>
          <w:rFonts w:hint="eastAsia" w:ascii="宋体" w:hAnsi="宋体" w:eastAsia="宋体" w:cs="宋体"/>
          <w:sz w:val="28"/>
          <w:szCs w:val="28"/>
          <w:highlight w:val="none"/>
          <w:u w:val="single"/>
        </w:rPr>
        <w:t>全过程工程咨询服务，包括：工程造价咨询（跟踪审计、结算审计）、监理、项目管理。</w:t>
      </w:r>
    </w:p>
    <w:p w14:paraId="0001A9F5">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9" w:name="_Toc21244"/>
      <w:bookmarkStart w:id="10" w:name="_Toc93403941"/>
      <w:bookmarkStart w:id="11" w:name="_Toc21481"/>
      <w:r>
        <w:rPr>
          <w:rFonts w:hint="eastAsia" w:ascii="宋体" w:hAnsi="宋体" w:eastAsia="宋体" w:cs="宋体"/>
          <w:b/>
          <w:kern w:val="0"/>
          <w:sz w:val="28"/>
          <w:szCs w:val="28"/>
          <w:highlight w:val="none"/>
          <w:lang w:val="en-US" w:eastAsia="zh-CN" w:bidi="ar-SA"/>
        </w:rPr>
        <w:t>3.投标人资格要求</w:t>
      </w:r>
      <w:bookmarkEnd w:id="8"/>
      <w:bookmarkEnd w:id="9"/>
      <w:bookmarkEnd w:id="10"/>
      <w:bookmarkEnd w:id="11"/>
    </w:p>
    <w:p w14:paraId="5AE1BB9F">
      <w:pPr>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3.1投标人须具备</w:t>
      </w:r>
      <w:r>
        <w:rPr>
          <w:rFonts w:hint="eastAsia" w:ascii="宋体" w:hAnsi="宋体" w:eastAsia="宋体" w:cs="宋体"/>
          <w:sz w:val="28"/>
          <w:szCs w:val="28"/>
          <w:highlight w:val="none"/>
          <w:u w:val="single"/>
          <w:lang w:val="en-US" w:eastAsia="zh-CN"/>
        </w:rPr>
        <w:t>住建部颁发的工程监理水利水电工程专业丙级及以上资质或</w:t>
      </w:r>
      <w:r>
        <w:rPr>
          <w:rFonts w:hint="eastAsia" w:ascii="宋体" w:hAnsi="宋体" w:eastAsia="宋体" w:cs="宋体"/>
          <w:sz w:val="28"/>
          <w:szCs w:val="28"/>
          <w:highlight w:val="none"/>
          <w:u w:val="single"/>
        </w:rPr>
        <w:t>水利部颁发的水利工程施工监理</w:t>
      </w:r>
      <w:r>
        <w:rPr>
          <w:rFonts w:hint="eastAsia" w:ascii="宋体" w:hAnsi="宋体" w:eastAsia="宋体" w:cs="宋体"/>
          <w:sz w:val="28"/>
          <w:szCs w:val="28"/>
          <w:highlight w:val="none"/>
          <w:u w:val="single"/>
          <w:lang w:val="en-US" w:eastAsia="zh-CN"/>
        </w:rPr>
        <w:t>丙</w:t>
      </w:r>
      <w:r>
        <w:rPr>
          <w:rFonts w:hint="eastAsia" w:ascii="宋体" w:hAnsi="宋体" w:eastAsia="宋体" w:cs="宋体"/>
          <w:sz w:val="28"/>
          <w:szCs w:val="28"/>
          <w:highlight w:val="none"/>
          <w:u w:val="single"/>
        </w:rPr>
        <w:t>级及以上资质</w:t>
      </w:r>
      <w:r>
        <w:rPr>
          <w:rFonts w:hint="eastAsia" w:ascii="宋体" w:hAnsi="宋体" w:eastAsia="宋体" w:cs="宋体"/>
          <w:sz w:val="28"/>
          <w:szCs w:val="28"/>
          <w:highlight w:val="none"/>
        </w:rPr>
        <w:t>，并在人员、设备、资金等方面具备相应的工程全过程工程服务咨询能力：</w:t>
      </w:r>
    </w:p>
    <w:p w14:paraId="20E7B5A1">
      <w:pPr>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3.1.1投标人还应满足下列条件：</w:t>
      </w:r>
    </w:p>
    <w:p w14:paraId="742FB448">
      <w:pPr>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（1）投标人是依法注册登记的法人或者其他组织，并具有独立订立合同的能力；</w:t>
      </w:r>
    </w:p>
    <w:p w14:paraId="65242358">
      <w:pPr>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（2）投标人未处于被责令停业、投标资格被取消或者财产被接管、冻结和破产状态；</w:t>
      </w:r>
    </w:p>
    <w:p w14:paraId="366CC41B">
      <w:pPr>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（3）投标人没有因骗取中标等违法违规问题，被有关部门暂停投标资格并在暂停期内的。</w:t>
      </w:r>
    </w:p>
    <w:p w14:paraId="05AC112F">
      <w:pPr>
        <w:spacing w:line="58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3.2投标人拟派项目总负责人须具备：</w:t>
      </w:r>
      <w:r>
        <w:rPr>
          <w:rFonts w:hint="eastAsia" w:ascii="宋体" w:hAnsi="宋体" w:eastAsia="宋体" w:cs="宋体"/>
          <w:sz w:val="28"/>
          <w:szCs w:val="28"/>
          <w:highlight w:val="none"/>
          <w:u w:val="single"/>
        </w:rPr>
        <w:t>有效期内《全国水利工程建设监理工程师资格证书》(水利工程专业)或</w:t>
      </w:r>
      <w:r>
        <w:rPr>
          <w:rFonts w:hint="eastAsia" w:ascii="Times New Roman" w:hAnsi="Times New Roman" w:eastAsia="宋体" w:cs="宋体"/>
          <w:sz w:val="28"/>
          <w:szCs w:val="28"/>
          <w:highlight w:val="none"/>
          <w:u w:val="single"/>
        </w:rPr>
        <w:t>国家注册监理工程师(水利工程)</w:t>
      </w:r>
      <w:r>
        <w:rPr>
          <w:rFonts w:hint="eastAsia" w:ascii="宋体" w:hAnsi="宋体" w:eastAsia="宋体" w:cs="宋体"/>
          <w:sz w:val="28"/>
          <w:szCs w:val="28"/>
          <w:highlight w:val="none"/>
        </w:rPr>
        <w:t>，同时具有</w:t>
      </w:r>
      <w:r>
        <w:rPr>
          <w:rFonts w:hint="eastAsia" w:ascii="宋体" w:hAnsi="宋体" w:eastAsia="宋体" w:cs="宋体"/>
          <w:sz w:val="28"/>
          <w:szCs w:val="28"/>
          <w:highlight w:val="none"/>
          <w:u w:val="single"/>
        </w:rPr>
        <w:t>水利工程类或工程经济类高级及以上职称</w:t>
      </w:r>
      <w:r>
        <w:rPr>
          <w:rFonts w:hint="eastAsia" w:ascii="宋体" w:hAnsi="宋体" w:eastAsia="宋体" w:cs="宋体"/>
          <w:sz w:val="28"/>
          <w:szCs w:val="28"/>
          <w:highlight w:val="none"/>
        </w:rPr>
        <w:t>，且必须满足下列条件：</w:t>
      </w:r>
    </w:p>
    <w:p w14:paraId="351BF597">
      <w:pPr>
        <w:widowControl w:val="0"/>
        <w:spacing w:line="580" w:lineRule="exact"/>
        <w:ind w:firstLine="532" w:firstLineChars="200"/>
        <w:jc w:val="left"/>
        <w:rPr>
          <w:rFonts w:hint="eastAsia" w:ascii="宋体" w:hAnsi="宋体" w:eastAsia="宋体" w:cs="宋体"/>
          <w:spacing w:val="-7"/>
          <w:kern w:val="2"/>
          <w:sz w:val="28"/>
          <w:szCs w:val="28"/>
          <w:highlight w:val="none"/>
          <w:u w:val="single"/>
          <w:lang w:val="en-US" w:eastAsia="zh-CN" w:bidi="ar-SA"/>
        </w:rPr>
      </w:pPr>
      <w:r>
        <w:rPr>
          <w:rFonts w:hint="eastAsia" w:ascii="宋体" w:hAnsi="宋体" w:eastAsia="宋体" w:cs="宋体"/>
          <w:spacing w:val="-7"/>
          <w:kern w:val="2"/>
          <w:sz w:val="28"/>
          <w:szCs w:val="28"/>
          <w:highlight w:val="none"/>
          <w:u w:val="single"/>
          <w:lang w:val="en-US" w:eastAsia="zh-CN" w:bidi="ar-SA"/>
        </w:rPr>
        <w:t>（1）投标项目总负责人以总监身份已承担的监理工程不得超过2个，且在宜兴市外不得有在监项目。（需提供承诺书，格式详见招标文件），否则将取消其中标资格，并没收其投标保证金；</w:t>
      </w:r>
    </w:p>
    <w:p w14:paraId="0CA98091">
      <w:pPr>
        <w:widowControl w:val="0"/>
        <w:spacing w:line="580" w:lineRule="exact"/>
        <w:ind w:firstLine="532" w:firstLineChars="200"/>
        <w:jc w:val="left"/>
        <w:rPr>
          <w:rFonts w:hint="eastAsia" w:ascii="宋体" w:hAnsi="宋体" w:eastAsia="宋体" w:cs="宋体"/>
          <w:spacing w:val="-7"/>
          <w:kern w:val="2"/>
          <w:sz w:val="28"/>
          <w:szCs w:val="28"/>
          <w:highlight w:val="none"/>
          <w:u w:val="single"/>
          <w:lang w:val="en-US" w:eastAsia="zh-CN" w:bidi="ar-SA"/>
        </w:rPr>
      </w:pPr>
      <w:r>
        <w:rPr>
          <w:rFonts w:hint="eastAsia" w:ascii="宋体" w:hAnsi="宋体" w:eastAsia="宋体" w:cs="宋体"/>
          <w:spacing w:val="-7"/>
          <w:kern w:val="2"/>
          <w:sz w:val="28"/>
          <w:szCs w:val="28"/>
          <w:highlight w:val="none"/>
          <w:u w:val="single"/>
          <w:lang w:val="en-US" w:eastAsia="zh-CN" w:bidi="ar-SA"/>
        </w:rPr>
        <w:t>（2）拟派项目总负责人不得同时在两个或者两个以上单位受聘或者执业。</w:t>
      </w:r>
    </w:p>
    <w:p w14:paraId="5DB604EE">
      <w:pPr>
        <w:widowControl w:val="0"/>
        <w:spacing w:line="580" w:lineRule="exact"/>
        <w:ind w:firstLine="532" w:firstLineChars="200"/>
        <w:jc w:val="left"/>
        <w:rPr>
          <w:rFonts w:hint="eastAsia" w:ascii="宋体" w:hAnsi="宋体" w:eastAsia="宋体" w:cs="宋体"/>
          <w:spacing w:val="-7"/>
          <w:kern w:val="2"/>
          <w:sz w:val="28"/>
          <w:szCs w:val="28"/>
          <w:highlight w:val="none"/>
          <w:u w:val="single"/>
          <w:lang w:val="en-US" w:eastAsia="zh-CN" w:bidi="ar-SA"/>
        </w:rPr>
      </w:pPr>
      <w:r>
        <w:rPr>
          <w:rFonts w:hint="eastAsia" w:ascii="宋体" w:hAnsi="宋体" w:eastAsia="宋体" w:cs="宋体"/>
          <w:spacing w:val="-7"/>
          <w:kern w:val="2"/>
          <w:sz w:val="28"/>
          <w:szCs w:val="28"/>
          <w:highlight w:val="none"/>
          <w:u w:val="single"/>
          <w:lang w:val="en-US" w:eastAsia="zh-CN" w:bidi="ar-SA"/>
        </w:rPr>
        <w:t>（3）项目总负责人无行贿犯罪行为记录；或有行贿犯罪行为记录，但自记录之日起已超过 5 年的。</w:t>
      </w:r>
    </w:p>
    <w:p w14:paraId="2AE7F887">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single"/>
          <w:lang w:val="en-US" w:eastAsia="zh-CN" w:bidi="ar-SA"/>
        </w:rPr>
        <w:t>（4）拟派项目总负责人须为投标人在职人员,提供投标截止日期前6个月内本单位为其办理的任意一个月社保缴费证明。</w:t>
      </w:r>
    </w:p>
    <w:p w14:paraId="20361342">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3.3项目咨询机构各专业负责人要求（总监理工程师可以由项目总负责人兼任）：</w:t>
      </w:r>
    </w:p>
    <w:p w14:paraId="558D9800">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3.3.1造价咨询负责人：</w:t>
      </w:r>
      <w:r>
        <w:rPr>
          <w:rFonts w:hint="eastAsia" w:ascii="宋体" w:hAnsi="宋体" w:eastAsia="宋体" w:cs="宋体"/>
          <w:spacing w:val="-7"/>
          <w:kern w:val="2"/>
          <w:sz w:val="28"/>
          <w:szCs w:val="28"/>
          <w:highlight w:val="none"/>
          <w:u w:val="single"/>
          <w:lang w:val="en-US" w:eastAsia="zh-CN" w:bidi="ar-SA"/>
        </w:rPr>
        <w:t>一级注册造价工程师；</w:t>
      </w:r>
    </w:p>
    <w:p w14:paraId="340D2DB7">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3.3.2总监理工程师：</w:t>
      </w:r>
      <w:r>
        <w:rPr>
          <w:rFonts w:hint="eastAsia" w:ascii="宋体" w:hAnsi="宋体" w:eastAsia="宋体" w:cs="宋体"/>
          <w:spacing w:val="-7"/>
          <w:kern w:val="2"/>
          <w:sz w:val="28"/>
          <w:szCs w:val="28"/>
          <w:highlight w:val="none"/>
          <w:u w:val="single"/>
          <w:lang w:val="en-US" w:eastAsia="zh-CN" w:bidi="ar-SA"/>
        </w:rPr>
        <w:t>《全国水利工程建设监理工程师资格证书》(水利工程专业)或国家注册监理工程师（水利工程类）</w:t>
      </w:r>
    </w:p>
    <w:p w14:paraId="789F86AA">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3.3.3项目管理负责人：</w:t>
      </w:r>
      <w:r>
        <w:rPr>
          <w:rFonts w:hint="eastAsia" w:ascii="宋体" w:hAnsi="宋体" w:eastAsia="宋体" w:cs="宋体"/>
          <w:spacing w:val="-7"/>
          <w:kern w:val="2"/>
          <w:sz w:val="28"/>
          <w:szCs w:val="28"/>
          <w:highlight w:val="none"/>
          <w:u w:val="single"/>
          <w:lang w:val="en-US" w:eastAsia="zh-CN" w:bidi="ar-SA"/>
        </w:rPr>
        <w:t>工程建设或咨询类执业资格。</w:t>
      </w:r>
    </w:p>
    <w:p w14:paraId="1AFE2903">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3.4投标人及其拟派项目总负责人的业绩要求：</w:t>
      </w:r>
      <w:r>
        <w:rPr>
          <w:rFonts w:hint="eastAsia" w:ascii="宋体" w:hAnsi="宋体" w:eastAsia="宋体" w:cs="宋体"/>
          <w:spacing w:val="-7"/>
          <w:kern w:val="2"/>
          <w:sz w:val="28"/>
          <w:szCs w:val="28"/>
          <w:highlight w:val="none"/>
          <w:u w:val="single"/>
          <w:lang w:val="en-US" w:eastAsia="zh-CN" w:bidi="ar-SA"/>
        </w:rPr>
        <w:t>拟派项目总负责人承担过类似工程项目全过程工程咨询服务或类似单项工程咨询服务（满足下列条件之一）</w:t>
      </w:r>
      <w:r>
        <w:rPr>
          <w:rFonts w:hint="eastAsia" w:ascii="宋体" w:hAnsi="宋体" w:eastAsia="宋体" w:cs="宋体"/>
          <w:spacing w:val="-7"/>
          <w:kern w:val="2"/>
          <w:sz w:val="28"/>
          <w:szCs w:val="28"/>
          <w:highlight w:val="none"/>
          <w:u w:val="none"/>
          <w:lang w:val="en-US" w:eastAsia="zh-CN" w:bidi="ar-SA"/>
        </w:rPr>
        <w:t>：</w:t>
      </w:r>
    </w:p>
    <w:p w14:paraId="2378184E">
      <w:pPr>
        <w:widowControl w:val="0"/>
        <w:spacing w:line="580" w:lineRule="exact"/>
        <w:ind w:firstLine="532" w:firstLineChars="200"/>
        <w:jc w:val="left"/>
        <w:rPr>
          <w:rFonts w:hint="eastAsia" w:ascii="宋体" w:hAnsi="宋体" w:eastAsia="宋体" w:cs="宋体"/>
          <w:spacing w:val="-7"/>
          <w:kern w:val="2"/>
          <w:sz w:val="28"/>
          <w:szCs w:val="28"/>
          <w:highlight w:val="none"/>
          <w:u w:val="none"/>
          <w:shd w:val="clear" w:color="auto" w:fill="FFFFFF"/>
          <w:lang w:val="en-US" w:eastAsia="zh-CN" w:bidi="ar-SA"/>
        </w:rPr>
      </w:pPr>
      <w:bookmarkStart w:id="12" w:name="_Toc382549577"/>
      <w:bookmarkStart w:id="13" w:name="_Toc382549717"/>
      <w:r>
        <w:rPr>
          <w:rFonts w:hint="eastAsia" w:ascii="宋体" w:hAnsi="宋体" w:eastAsia="宋体" w:cs="宋体"/>
          <w:spacing w:val="-7"/>
          <w:kern w:val="2"/>
          <w:sz w:val="28"/>
          <w:szCs w:val="28"/>
          <w:highlight w:val="none"/>
          <w:u w:val="none"/>
          <w:shd w:val="clear" w:color="auto" w:fill="FFFFFF"/>
          <w:lang w:val="en-US" w:eastAsia="zh-CN" w:bidi="ar-SA"/>
        </w:rPr>
        <w:t>3.4.1自2021年1月以来，项目总负责人承担过水利工程全过程工程咨询业绩（同时提供中标通知书或成交通知书和全过程工程咨询服务合同，时间以合同签订时间为准）；</w:t>
      </w:r>
    </w:p>
    <w:p w14:paraId="5149355D">
      <w:pPr>
        <w:widowControl w:val="0"/>
        <w:spacing w:line="580" w:lineRule="exact"/>
        <w:ind w:firstLine="532" w:firstLineChars="200"/>
        <w:jc w:val="left"/>
        <w:rPr>
          <w:rFonts w:hint="eastAsia" w:ascii="宋体" w:hAnsi="宋体" w:eastAsia="宋体" w:cs="宋体"/>
          <w:spacing w:val="-7"/>
          <w:kern w:val="2"/>
          <w:sz w:val="28"/>
          <w:szCs w:val="28"/>
          <w:highlight w:val="none"/>
          <w:u w:val="none"/>
          <w:shd w:val="clear" w:color="auto" w:fill="FFFFFF"/>
          <w:lang w:val="en-US" w:eastAsia="zh-CN" w:bidi="ar-SA"/>
        </w:rPr>
      </w:pPr>
      <w:r>
        <w:rPr>
          <w:rFonts w:hint="eastAsia" w:ascii="宋体" w:hAnsi="宋体" w:eastAsia="宋体" w:cs="宋体"/>
          <w:spacing w:val="-7"/>
          <w:kern w:val="2"/>
          <w:sz w:val="28"/>
          <w:szCs w:val="28"/>
          <w:highlight w:val="none"/>
          <w:u w:val="none"/>
          <w:shd w:val="clear" w:color="auto" w:fill="FFFFFF"/>
          <w:lang w:val="en-US" w:eastAsia="zh-CN" w:bidi="ar-SA"/>
        </w:rPr>
        <w:t>3.4.2 自2021年1月以来，项目总负责人承担过水利工程造价咨询业绩（同时提供中标通知书或成交通知书和造价咨询合同，时间以合同签订时间为准）</w:t>
      </w:r>
    </w:p>
    <w:p w14:paraId="00910023">
      <w:pPr>
        <w:widowControl w:val="0"/>
        <w:spacing w:line="580" w:lineRule="exact"/>
        <w:ind w:firstLine="532" w:firstLineChars="200"/>
        <w:jc w:val="left"/>
        <w:rPr>
          <w:rFonts w:hint="eastAsia" w:ascii="宋体" w:hAnsi="宋体" w:eastAsia="宋体" w:cs="宋体"/>
          <w:spacing w:val="-7"/>
          <w:kern w:val="2"/>
          <w:sz w:val="28"/>
          <w:szCs w:val="28"/>
          <w:highlight w:val="none"/>
          <w:u w:val="none"/>
          <w:shd w:val="clear" w:color="auto" w:fill="FFFFFF"/>
          <w:lang w:val="en-US" w:eastAsia="zh-CN" w:bidi="ar-SA"/>
        </w:rPr>
      </w:pPr>
      <w:r>
        <w:rPr>
          <w:rFonts w:hint="eastAsia" w:ascii="宋体" w:hAnsi="宋体" w:eastAsia="宋体" w:cs="宋体"/>
          <w:spacing w:val="-7"/>
          <w:kern w:val="2"/>
          <w:sz w:val="28"/>
          <w:szCs w:val="28"/>
          <w:highlight w:val="none"/>
          <w:u w:val="none"/>
          <w:shd w:val="clear" w:color="auto" w:fill="FFFFFF"/>
          <w:lang w:val="en-US" w:eastAsia="zh-CN" w:bidi="ar-SA"/>
        </w:rPr>
        <w:t>3.4.3 自2021年1月以来，项目总负责人承担过水利工程监理业绩（需同时提供中标通知书(或者发包人出具的加盖发包人单位公章的直接发包证明)、合同协议书、完（竣）工验收鉴定书并含签名表或（完）竣工验收证明或完（竣）工验收证书，（完）竣工验收证明或完（竣）工验收证书需具备建设单位、设计单位、监理单位及施工单位四方盖公章（非项目部章、科室章）以上三份材料缺一不可。材料所示工程名称、各相关单位信息和项目负责人信息等需前后一致，能证明为同一工程，且时间顺序符合建设工程实际。类似工程的时间以完（竣）工验收鉴定书并含签名表或（完）竣工验收证明或完（竣）工验收证书颁发时间为准，类似工程的单项合同造价以合同协议书所注为准，合同中未注明工程造价的，需要提供加盖业主公章的证明材料，否则不予认可。）；</w:t>
      </w:r>
    </w:p>
    <w:p w14:paraId="55BEFFE7">
      <w:pPr>
        <w:widowControl w:val="0"/>
        <w:spacing w:line="580" w:lineRule="exact"/>
        <w:ind w:firstLine="532" w:firstLineChars="200"/>
        <w:jc w:val="left"/>
        <w:rPr>
          <w:rFonts w:hint="eastAsia" w:ascii="宋体" w:hAnsi="宋体" w:eastAsia="宋体" w:cs="宋体"/>
          <w:spacing w:val="-7"/>
          <w:kern w:val="2"/>
          <w:sz w:val="28"/>
          <w:szCs w:val="28"/>
          <w:highlight w:val="none"/>
          <w:u w:val="none"/>
          <w:shd w:val="clear" w:color="auto" w:fill="FFFFFF"/>
          <w:lang w:val="en-US" w:eastAsia="zh-CN" w:bidi="ar-SA"/>
        </w:rPr>
      </w:pPr>
      <w:r>
        <w:rPr>
          <w:rFonts w:hint="eastAsia" w:ascii="宋体" w:hAnsi="宋体" w:eastAsia="宋体" w:cs="宋体"/>
          <w:spacing w:val="-7"/>
          <w:kern w:val="2"/>
          <w:sz w:val="28"/>
          <w:szCs w:val="28"/>
          <w:highlight w:val="none"/>
          <w:u w:val="none"/>
          <w:shd w:val="clear" w:color="auto" w:fill="FFFFFF"/>
          <w:lang w:val="en-US" w:eastAsia="zh-CN" w:bidi="ar-SA"/>
        </w:rPr>
        <w:t>注：类似工程项目是指单项工程项目总投资概算2500万元及以上的水利工程项目，总投资概算以合同上载明的金额为准。</w:t>
      </w:r>
    </w:p>
    <w:p w14:paraId="1B6C1BCF">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3.5投标人不得有以下情形：</w:t>
      </w:r>
    </w:p>
    <w:p w14:paraId="1D739FCE">
      <w:pPr>
        <w:widowControl w:val="0"/>
        <w:spacing w:line="580" w:lineRule="exact"/>
        <w:ind w:firstLine="532" w:firstLineChars="200"/>
        <w:jc w:val="left"/>
        <w:rPr>
          <w:rFonts w:hint="eastAsia" w:ascii="宋体" w:hAnsi="宋体" w:eastAsia="宋体" w:cs="宋体"/>
          <w:spacing w:val="-7"/>
          <w:kern w:val="2"/>
          <w:sz w:val="28"/>
          <w:szCs w:val="28"/>
          <w:highlight w:val="none"/>
          <w:u w:val="none"/>
          <w:lang w:val="en-US" w:eastAsia="zh-CN" w:bidi="ar-SA"/>
        </w:rPr>
      </w:pPr>
      <w:r>
        <w:rPr>
          <w:rFonts w:hint="eastAsia" w:ascii="宋体" w:hAnsi="宋体" w:eastAsia="宋体" w:cs="宋体"/>
          <w:spacing w:val="-7"/>
          <w:kern w:val="2"/>
          <w:sz w:val="28"/>
          <w:szCs w:val="28"/>
          <w:highlight w:val="none"/>
          <w:u w:val="none"/>
          <w:lang w:val="en-US" w:eastAsia="zh-CN" w:bidi="ar-SA"/>
        </w:rPr>
        <w:t>（1）为招标人不具有独立法人资格的附属机构（单位）；</w:t>
      </w:r>
    </w:p>
    <w:p w14:paraId="77C65FE0">
      <w:pPr>
        <w:adjustRightInd w:val="0"/>
        <w:snapToGrid w:val="0"/>
        <w:spacing w:line="580" w:lineRule="exact"/>
        <w:ind w:firstLine="420" w:firstLineChars="150"/>
        <w:jc w:val="left"/>
        <w:rPr>
          <w:rFonts w:hint="eastAsia" w:ascii="宋体" w:hAnsi="宋体" w:eastAsia="宋体" w:cs="宋体"/>
          <w:sz w:val="28"/>
          <w:szCs w:val="28"/>
          <w:highlight w:val="none"/>
          <w:u w:val="none"/>
        </w:rPr>
      </w:pPr>
      <w:r>
        <w:rPr>
          <w:rFonts w:hint="eastAsia" w:ascii="宋体" w:hAnsi="宋体" w:eastAsia="宋体" w:cs="宋体"/>
          <w:sz w:val="28"/>
          <w:szCs w:val="28"/>
          <w:highlight w:val="none"/>
          <w:u w:val="none"/>
        </w:rPr>
        <w:t>（2）为本标段提供招标代理服务的；</w:t>
      </w:r>
    </w:p>
    <w:p w14:paraId="1058FD81">
      <w:pPr>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（3）与本标段的招标代理机构存在单位负责人为同一人的；</w:t>
      </w:r>
    </w:p>
    <w:p w14:paraId="4101EB58">
      <w:pPr>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（4）与本标段的招标代理机构存在相互控股或参股的；</w:t>
      </w:r>
    </w:p>
    <w:p w14:paraId="01AE72A1">
      <w:pPr>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（5）与本标段其他投标人存在单位负责人为同一人或者存在控股、管理关系的；</w:t>
      </w:r>
    </w:p>
    <w:p w14:paraId="1C702DEF">
      <w:pPr>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（6）全过程工程咨询服务投标人及其分包单位不得与本项目的工程总承包单位、施工单位存在利害关系；</w:t>
      </w:r>
    </w:p>
    <w:p w14:paraId="169EDA15">
      <w:pPr>
        <w:adjustRightInd w:val="0"/>
        <w:snapToGrid w:val="0"/>
        <w:spacing w:line="580" w:lineRule="exact"/>
        <w:ind w:firstLine="420" w:firstLineChars="150"/>
        <w:jc w:val="left"/>
        <w:rPr>
          <w:rFonts w:hint="eastAsia" w:ascii="宋体" w:hAnsi="宋体" w:eastAsia="宋体" w:cs="宋体"/>
          <w:szCs w:val="20"/>
          <w:highlight w:val="none"/>
        </w:rPr>
      </w:pPr>
      <w:r>
        <w:rPr>
          <w:rFonts w:hint="eastAsia" w:ascii="宋体" w:hAnsi="宋体" w:eastAsia="宋体" w:cs="宋体"/>
          <w:sz w:val="28"/>
          <w:szCs w:val="28"/>
          <w:highlight w:val="none"/>
        </w:rPr>
        <w:t>（7）法律法规规定的其它情形；</w:t>
      </w:r>
    </w:p>
    <w:p w14:paraId="67212135">
      <w:pPr>
        <w:adjustRightInd w:val="0"/>
        <w:snapToGrid w:val="0"/>
        <w:spacing w:line="580" w:lineRule="exact"/>
        <w:ind w:firstLine="562" w:firstLineChars="201"/>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3.6符合法律法规规定的其它要求。</w:t>
      </w:r>
      <w:bookmarkEnd w:id="12"/>
      <w:bookmarkEnd w:id="13"/>
      <w:bookmarkStart w:id="14" w:name="_Toc93403942"/>
      <w:bookmarkStart w:id="15" w:name="_Toc398107830"/>
      <w:bookmarkStart w:id="16" w:name="_Toc27237"/>
      <w:bookmarkStart w:id="17" w:name="_Toc15081"/>
    </w:p>
    <w:p w14:paraId="7D03D653">
      <w:pPr>
        <w:spacing w:line="56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3.7本次招标</w:t>
      </w:r>
      <w:r>
        <w:rPr>
          <w:rFonts w:hint="eastAsia" w:ascii="宋体" w:hAnsi="宋体" w:eastAsia="宋体" w:cs="宋体"/>
          <w:sz w:val="28"/>
          <w:szCs w:val="28"/>
          <w:highlight w:val="none"/>
          <w:u w:val="single"/>
        </w:rPr>
        <w:t>不接受</w:t>
      </w:r>
      <w:r>
        <w:rPr>
          <w:rFonts w:hint="eastAsia" w:ascii="宋体" w:hAnsi="宋体" w:eastAsia="宋体" w:cs="宋体"/>
          <w:sz w:val="28"/>
          <w:szCs w:val="28"/>
          <w:highlight w:val="none"/>
        </w:rPr>
        <w:t>联合体投标。</w:t>
      </w:r>
    </w:p>
    <w:p w14:paraId="174239D2">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4.评标办法</w:t>
      </w:r>
      <w:bookmarkEnd w:id="14"/>
      <w:bookmarkEnd w:id="15"/>
      <w:bookmarkEnd w:id="16"/>
      <w:bookmarkEnd w:id="17"/>
    </w:p>
    <w:p w14:paraId="62B0F6F1">
      <w:pPr>
        <w:spacing w:line="580" w:lineRule="exact"/>
        <w:ind w:firstLine="560" w:firstLineChars="200"/>
        <w:jc w:val="left"/>
        <w:rPr>
          <w:rFonts w:hint="eastAsia" w:ascii="宋体" w:hAnsi="宋体" w:eastAsia="宋体" w:cs="宋体"/>
          <w:snapToGrid w:val="0"/>
          <w:kern w:val="0"/>
          <w:sz w:val="28"/>
          <w:szCs w:val="28"/>
          <w:highlight w:val="none"/>
        </w:rPr>
      </w:pPr>
      <w:r>
        <w:rPr>
          <w:rFonts w:hint="eastAsia" w:ascii="宋体" w:hAnsi="宋体" w:eastAsia="宋体" w:cs="宋体"/>
          <w:snapToGrid w:val="0"/>
          <w:kern w:val="0"/>
          <w:sz w:val="28"/>
          <w:szCs w:val="28"/>
          <w:highlight w:val="none"/>
        </w:rPr>
        <w:t>本次招标采用综合评估法，评标细则详见本公告附件。</w:t>
      </w:r>
    </w:p>
    <w:p w14:paraId="39FE6A98">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18" w:name="_Toc28360"/>
      <w:bookmarkStart w:id="19" w:name="_Toc17561"/>
      <w:bookmarkStart w:id="20" w:name="_Toc93403943"/>
      <w:bookmarkStart w:id="21" w:name="_Toc398107831"/>
      <w:r>
        <w:rPr>
          <w:rFonts w:hint="eastAsia" w:ascii="宋体" w:hAnsi="宋体" w:eastAsia="宋体" w:cs="宋体"/>
          <w:b/>
          <w:kern w:val="0"/>
          <w:sz w:val="28"/>
          <w:szCs w:val="28"/>
          <w:highlight w:val="none"/>
          <w:lang w:val="en-US" w:eastAsia="zh-CN" w:bidi="ar-SA"/>
        </w:rPr>
        <w:t>5.招标文件的获取</w:t>
      </w:r>
      <w:bookmarkEnd w:id="18"/>
      <w:bookmarkEnd w:id="19"/>
      <w:bookmarkEnd w:id="20"/>
      <w:bookmarkEnd w:id="21"/>
    </w:p>
    <w:p w14:paraId="3EE75A7F">
      <w:pPr>
        <w:adjustRightInd w:val="0"/>
        <w:snapToGrid w:val="0"/>
        <w:spacing w:line="580" w:lineRule="exact"/>
        <w:ind w:firstLine="420" w:firstLineChars="150"/>
        <w:jc w:val="left"/>
        <w:rPr>
          <w:rFonts w:hint="eastAsia" w:ascii="宋体" w:hAnsi="宋体" w:eastAsia="宋体" w:cs="宋体"/>
          <w:kern w:val="0"/>
          <w:sz w:val="28"/>
          <w:szCs w:val="28"/>
          <w:highlight w:val="none"/>
        </w:rPr>
      </w:pPr>
      <w:bookmarkStart w:id="22" w:name="_Toc398107832"/>
      <w:r>
        <w:rPr>
          <w:rFonts w:hint="eastAsia" w:ascii="宋体" w:hAnsi="宋体" w:eastAsia="宋体" w:cs="宋体"/>
          <w:kern w:val="0"/>
          <w:sz w:val="28"/>
          <w:szCs w:val="28"/>
          <w:highlight w:val="none"/>
        </w:rPr>
        <w:t>5.1获取招标文件的时间：</w:t>
      </w:r>
      <w:r>
        <w:rPr>
          <w:rFonts w:hint="eastAsia" w:ascii="宋体" w:hAnsi="宋体" w:eastAsia="宋体" w:cs="宋体"/>
          <w:kern w:val="0"/>
          <w:sz w:val="28"/>
          <w:szCs w:val="28"/>
          <w:highlight w:val="none"/>
          <w:lang w:val="en-US" w:eastAsia="zh-CN"/>
        </w:rPr>
        <w:t>2025</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8</w:t>
      </w:r>
      <w:r>
        <w:rPr>
          <w:rFonts w:hint="eastAsia" w:ascii="宋体" w:hAnsi="宋体" w:eastAsia="宋体" w:cs="宋体"/>
          <w:kern w:val="0"/>
          <w:sz w:val="28"/>
          <w:szCs w:val="28"/>
          <w:highlight w:val="none"/>
        </w:rPr>
        <w:t>日至</w:t>
      </w:r>
      <w:r>
        <w:rPr>
          <w:rFonts w:hint="eastAsia" w:ascii="宋体" w:hAnsi="宋体" w:eastAsia="宋体" w:cs="宋体"/>
          <w:kern w:val="0"/>
          <w:sz w:val="28"/>
          <w:szCs w:val="28"/>
          <w:highlight w:val="none"/>
          <w:lang w:val="en-US" w:eastAsia="zh-CN"/>
        </w:rPr>
        <w:t xml:space="preserve"> 2025</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16</w:t>
      </w:r>
      <w:r>
        <w:rPr>
          <w:rFonts w:hint="eastAsia" w:ascii="宋体" w:hAnsi="宋体" w:eastAsia="宋体" w:cs="宋体"/>
          <w:kern w:val="0"/>
          <w:sz w:val="28"/>
          <w:szCs w:val="28"/>
          <w:highlight w:val="none"/>
        </w:rPr>
        <w:t>日</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凡有意参加</w:t>
      </w:r>
      <w:r>
        <w:rPr>
          <w:rFonts w:hint="eastAsia" w:ascii="宋体" w:hAnsi="宋体" w:eastAsia="宋体" w:cs="宋体"/>
          <w:kern w:val="0"/>
          <w:sz w:val="28"/>
          <w:szCs w:val="28"/>
          <w:highlight w:val="none"/>
          <w:lang w:eastAsia="zh-CN"/>
        </w:rPr>
        <w:t>的</w:t>
      </w:r>
      <w:r>
        <w:rPr>
          <w:rFonts w:hint="eastAsia" w:ascii="宋体" w:hAnsi="宋体" w:eastAsia="宋体" w:cs="宋体"/>
          <w:kern w:val="0"/>
          <w:sz w:val="28"/>
          <w:szCs w:val="28"/>
          <w:highlight w:val="none"/>
        </w:rPr>
        <w:t>投标</w:t>
      </w:r>
      <w:r>
        <w:rPr>
          <w:rFonts w:hint="eastAsia" w:ascii="宋体" w:hAnsi="宋体" w:eastAsia="宋体" w:cs="宋体"/>
          <w:kern w:val="0"/>
          <w:sz w:val="28"/>
          <w:szCs w:val="28"/>
          <w:highlight w:val="none"/>
          <w:lang w:eastAsia="zh-CN"/>
        </w:rPr>
        <w:t>人按要求</w:t>
      </w:r>
      <w:r>
        <w:rPr>
          <w:rFonts w:hint="eastAsia" w:ascii="宋体" w:hAnsi="宋体" w:eastAsia="宋体" w:cs="宋体"/>
          <w:kern w:val="0"/>
          <w:sz w:val="28"/>
          <w:szCs w:val="28"/>
          <w:highlight w:val="none"/>
          <w:lang w:val="en-US" w:eastAsia="zh-CN"/>
        </w:rPr>
        <w:t>在投标文件递交时间截止前</w:t>
      </w:r>
      <w:r>
        <w:rPr>
          <w:rFonts w:hint="eastAsia" w:ascii="宋体" w:hAnsi="宋体" w:eastAsia="宋体" w:cs="宋体"/>
          <w:kern w:val="0"/>
          <w:sz w:val="28"/>
          <w:szCs w:val="28"/>
          <w:highlight w:val="none"/>
          <w:lang w:eastAsia="zh-CN"/>
        </w:rPr>
        <w:t>缴纳投标保证金及标前资格预审通过后即报名成功。</w:t>
      </w:r>
      <w:r>
        <w:rPr>
          <w:rFonts w:hint="eastAsia" w:ascii="宋体" w:hAnsi="宋体" w:eastAsia="宋体" w:cs="宋体"/>
          <w:kern w:val="0"/>
          <w:sz w:val="28"/>
          <w:szCs w:val="28"/>
          <w:highlight w:val="none"/>
          <w:lang w:val="en-US" w:eastAsia="zh-CN"/>
        </w:rPr>
        <w:t>招标文件每份300元，在递交投标文件时收取（售后不退，招标活动终止的情况除外）。</w:t>
      </w:r>
    </w:p>
    <w:p w14:paraId="408F4D7F">
      <w:pPr>
        <w:adjustRightInd w:val="0"/>
        <w:snapToGrid w:val="0"/>
        <w:spacing w:line="580" w:lineRule="exact"/>
        <w:ind w:firstLine="420" w:firstLineChars="15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5.2招标人根据项目的实际情况，要求投标人交纳投标保证金</w:t>
      </w:r>
      <w:r>
        <w:rPr>
          <w:rFonts w:hint="eastAsia" w:ascii="宋体" w:hAnsi="宋体" w:eastAsia="宋体" w:cs="宋体"/>
          <w:b/>
          <w:bCs/>
          <w:kern w:val="0"/>
          <w:sz w:val="28"/>
          <w:szCs w:val="28"/>
          <w:highlight w:val="none"/>
          <w:lang w:val="en-US" w:eastAsia="zh-CN"/>
        </w:rPr>
        <w:t>伍仟元</w:t>
      </w:r>
      <w:r>
        <w:rPr>
          <w:rFonts w:hint="eastAsia" w:ascii="宋体" w:hAnsi="宋体" w:eastAsia="宋体" w:cs="宋体"/>
          <w:kern w:val="0"/>
          <w:sz w:val="28"/>
          <w:szCs w:val="28"/>
          <w:highlight w:val="none"/>
          <w:lang w:val="en-US" w:eastAsia="zh-CN"/>
        </w:rPr>
        <w:t>人民币。交纳投标保证金的单位名称必须与参加投标的投标人名称一致：</w:t>
      </w:r>
    </w:p>
    <w:tbl>
      <w:tblPr>
        <w:tblStyle w:val="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4197"/>
        <w:gridCol w:w="917"/>
        <w:gridCol w:w="2488"/>
      </w:tblGrid>
      <w:tr w14:paraId="4879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76" w:type="dxa"/>
            <w:noWrap w:val="0"/>
            <w:vAlign w:val="center"/>
          </w:tcPr>
          <w:p w14:paraId="3220B27E">
            <w:pPr>
              <w:adjustRightInd w:val="0"/>
              <w:snapToGrid w:val="0"/>
              <w:spacing w:line="240" w:lineRule="auto"/>
              <w:jc w:val="center"/>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rPr>
              <w:t>交纳投标保证金账户名称</w:t>
            </w:r>
          </w:p>
        </w:tc>
        <w:tc>
          <w:tcPr>
            <w:tcW w:w="4197" w:type="dxa"/>
            <w:noWrap w:val="0"/>
            <w:vAlign w:val="center"/>
          </w:tcPr>
          <w:p w14:paraId="06B473BF">
            <w:pPr>
              <w:adjustRightInd w:val="0"/>
              <w:snapToGrid w:val="0"/>
              <w:spacing w:line="240" w:lineRule="auto"/>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宜兴市公用环保集团有限公司</w:t>
            </w:r>
          </w:p>
        </w:tc>
        <w:tc>
          <w:tcPr>
            <w:tcW w:w="917" w:type="dxa"/>
            <w:vMerge w:val="restart"/>
            <w:noWrap w:val="0"/>
            <w:vAlign w:val="center"/>
          </w:tcPr>
          <w:p w14:paraId="43584B5D">
            <w:pPr>
              <w:adjustRightInd w:val="0"/>
              <w:snapToGrid w:val="0"/>
              <w:spacing w:line="240" w:lineRule="auto"/>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交纳</w:t>
            </w:r>
          </w:p>
          <w:p w14:paraId="4D0917BB">
            <w:pPr>
              <w:adjustRightInd w:val="0"/>
              <w:snapToGrid w:val="0"/>
              <w:spacing w:line="240" w:lineRule="auto"/>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形式</w:t>
            </w:r>
          </w:p>
        </w:tc>
        <w:tc>
          <w:tcPr>
            <w:tcW w:w="2488" w:type="dxa"/>
            <w:vMerge w:val="restart"/>
            <w:noWrap w:val="0"/>
            <w:vAlign w:val="center"/>
          </w:tcPr>
          <w:p w14:paraId="66705F48">
            <w:pPr>
              <w:adjustRightInd w:val="0"/>
              <w:snapToGrid w:val="0"/>
              <w:spacing w:line="240" w:lineRule="auto"/>
              <w:ind w:firstLine="420" w:firstLineChars="150"/>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rPr>
              <w:t>投标保证金的交纳形式限于转账（不接受其他形式的投标保证金）</w:t>
            </w:r>
          </w:p>
        </w:tc>
      </w:tr>
      <w:tr w14:paraId="5A15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976" w:type="dxa"/>
            <w:noWrap w:val="0"/>
            <w:vAlign w:val="center"/>
          </w:tcPr>
          <w:p w14:paraId="62C50075">
            <w:pPr>
              <w:adjustRightInd w:val="0"/>
              <w:snapToGrid w:val="0"/>
              <w:spacing w:line="240" w:lineRule="auto"/>
              <w:ind w:firstLine="420" w:firstLineChars="150"/>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开户银行</w:t>
            </w:r>
          </w:p>
        </w:tc>
        <w:tc>
          <w:tcPr>
            <w:tcW w:w="4197" w:type="dxa"/>
            <w:noWrap w:val="0"/>
            <w:vAlign w:val="center"/>
          </w:tcPr>
          <w:p w14:paraId="16F679EC">
            <w:pPr>
              <w:adjustRightInd w:val="0"/>
              <w:snapToGrid w:val="0"/>
              <w:spacing w:line="240" w:lineRule="auto"/>
              <w:ind w:firstLine="420" w:firstLineChars="150"/>
              <w:jc w:val="left"/>
              <w:rPr>
                <w:rFonts w:hint="eastAsia" w:ascii="宋体" w:hAnsi="宋体" w:eastAsia="宋体" w:cs="宋体"/>
                <w:kern w:val="0"/>
                <w:sz w:val="28"/>
                <w:szCs w:val="28"/>
                <w:highlight w:val="none"/>
                <w:lang w:val="zh-CN" w:eastAsia="zh-CN"/>
              </w:rPr>
            </w:pPr>
            <w:r>
              <w:rPr>
                <w:rFonts w:hint="eastAsia" w:ascii="宋体" w:hAnsi="宋体" w:eastAsia="宋体" w:cs="宋体"/>
                <w:kern w:val="0"/>
                <w:sz w:val="28"/>
                <w:szCs w:val="28"/>
                <w:highlight w:val="none"/>
                <w:lang w:val="zh-CN" w:eastAsia="zh-CN"/>
              </w:rPr>
              <w:t>光大银行宜兴支行</w:t>
            </w:r>
          </w:p>
        </w:tc>
        <w:tc>
          <w:tcPr>
            <w:tcW w:w="917" w:type="dxa"/>
            <w:vMerge w:val="continue"/>
            <w:noWrap w:val="0"/>
            <w:vAlign w:val="center"/>
          </w:tcPr>
          <w:p w14:paraId="2A80103D">
            <w:pPr>
              <w:adjustRightInd w:val="0"/>
              <w:snapToGrid w:val="0"/>
              <w:spacing w:line="240" w:lineRule="auto"/>
              <w:ind w:firstLine="420" w:firstLineChars="150"/>
              <w:jc w:val="left"/>
              <w:rPr>
                <w:rFonts w:hint="eastAsia" w:ascii="宋体" w:hAnsi="宋体" w:eastAsia="宋体" w:cs="宋体"/>
                <w:kern w:val="0"/>
                <w:sz w:val="28"/>
                <w:szCs w:val="28"/>
                <w:highlight w:val="none"/>
                <w:lang w:val="zh-CN"/>
              </w:rPr>
            </w:pPr>
          </w:p>
        </w:tc>
        <w:tc>
          <w:tcPr>
            <w:tcW w:w="2488" w:type="dxa"/>
            <w:vMerge w:val="continue"/>
            <w:noWrap w:val="0"/>
            <w:vAlign w:val="center"/>
          </w:tcPr>
          <w:p w14:paraId="1CBB0B8C">
            <w:pPr>
              <w:adjustRightInd w:val="0"/>
              <w:snapToGrid w:val="0"/>
              <w:spacing w:line="240" w:lineRule="auto"/>
              <w:ind w:firstLine="420" w:firstLineChars="150"/>
              <w:jc w:val="left"/>
              <w:rPr>
                <w:rFonts w:hint="eastAsia" w:ascii="宋体" w:hAnsi="宋体" w:eastAsia="宋体" w:cs="宋体"/>
                <w:kern w:val="0"/>
                <w:sz w:val="28"/>
                <w:szCs w:val="28"/>
                <w:highlight w:val="none"/>
                <w:lang w:val="zh-CN"/>
              </w:rPr>
            </w:pPr>
          </w:p>
        </w:tc>
      </w:tr>
      <w:tr w14:paraId="7789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76" w:type="dxa"/>
            <w:noWrap w:val="0"/>
            <w:vAlign w:val="center"/>
          </w:tcPr>
          <w:p w14:paraId="209EEB51">
            <w:pPr>
              <w:adjustRightInd w:val="0"/>
              <w:snapToGrid w:val="0"/>
              <w:spacing w:line="580" w:lineRule="exact"/>
              <w:ind w:firstLine="420" w:firstLineChars="150"/>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账</w:t>
            </w:r>
            <w:r>
              <w:rPr>
                <w:rFonts w:hint="eastAsia" w:ascii="宋体" w:hAnsi="宋体" w:eastAsia="宋体" w:cs="宋体"/>
                <w:kern w:val="0"/>
                <w:sz w:val="28"/>
                <w:szCs w:val="28"/>
                <w:highlight w:val="none"/>
              </w:rPr>
              <w:t xml:space="preserve"> </w:t>
            </w:r>
            <w:r>
              <w:rPr>
                <w:rFonts w:hint="eastAsia" w:ascii="宋体" w:hAnsi="宋体" w:eastAsia="宋体" w:cs="宋体"/>
                <w:kern w:val="0"/>
                <w:sz w:val="28"/>
                <w:szCs w:val="28"/>
                <w:highlight w:val="none"/>
                <w:lang w:val="zh-CN"/>
              </w:rPr>
              <w:t>号</w:t>
            </w:r>
          </w:p>
        </w:tc>
        <w:tc>
          <w:tcPr>
            <w:tcW w:w="4197" w:type="dxa"/>
            <w:noWrap w:val="0"/>
            <w:vAlign w:val="center"/>
          </w:tcPr>
          <w:p w14:paraId="26C95292">
            <w:pPr>
              <w:adjustRightInd w:val="0"/>
              <w:snapToGrid w:val="0"/>
              <w:spacing w:line="580" w:lineRule="exact"/>
              <w:ind w:firstLine="420" w:firstLineChars="150"/>
              <w:jc w:val="left"/>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51610188000272156</w:t>
            </w:r>
          </w:p>
        </w:tc>
        <w:tc>
          <w:tcPr>
            <w:tcW w:w="917" w:type="dxa"/>
            <w:vMerge w:val="continue"/>
            <w:noWrap w:val="0"/>
            <w:vAlign w:val="center"/>
          </w:tcPr>
          <w:p w14:paraId="77C35776">
            <w:pPr>
              <w:adjustRightInd w:val="0"/>
              <w:snapToGrid w:val="0"/>
              <w:spacing w:line="580" w:lineRule="exact"/>
              <w:ind w:firstLine="420" w:firstLineChars="150"/>
              <w:jc w:val="left"/>
              <w:rPr>
                <w:rFonts w:hint="eastAsia" w:ascii="宋体" w:hAnsi="宋体" w:eastAsia="宋体" w:cs="宋体"/>
                <w:kern w:val="0"/>
                <w:sz w:val="28"/>
                <w:szCs w:val="28"/>
                <w:highlight w:val="none"/>
                <w:lang w:val="zh-CN"/>
              </w:rPr>
            </w:pPr>
          </w:p>
        </w:tc>
        <w:tc>
          <w:tcPr>
            <w:tcW w:w="2488" w:type="dxa"/>
            <w:vMerge w:val="continue"/>
            <w:noWrap w:val="0"/>
            <w:vAlign w:val="center"/>
          </w:tcPr>
          <w:p w14:paraId="64EB7244">
            <w:pPr>
              <w:adjustRightInd w:val="0"/>
              <w:snapToGrid w:val="0"/>
              <w:spacing w:line="580" w:lineRule="exact"/>
              <w:ind w:firstLine="420" w:firstLineChars="150"/>
              <w:jc w:val="left"/>
              <w:rPr>
                <w:rFonts w:hint="eastAsia" w:ascii="宋体" w:hAnsi="宋体" w:eastAsia="宋体" w:cs="宋体"/>
                <w:kern w:val="0"/>
                <w:sz w:val="28"/>
                <w:szCs w:val="28"/>
                <w:highlight w:val="none"/>
                <w:lang w:val="zh-CN"/>
              </w:rPr>
            </w:pPr>
          </w:p>
        </w:tc>
      </w:tr>
    </w:tbl>
    <w:p w14:paraId="5470F347">
      <w:pPr>
        <w:adjustRightInd w:val="0"/>
        <w:snapToGrid w:val="0"/>
        <w:spacing w:line="580" w:lineRule="exact"/>
        <w:ind w:firstLine="420" w:firstLineChars="150"/>
        <w:jc w:val="left"/>
        <w:rPr>
          <w:rFonts w:hint="eastAsia" w:ascii="宋体" w:hAnsi="宋体" w:eastAsia="宋体" w:cs="宋体"/>
          <w:color w:val="FF0000"/>
          <w:kern w:val="0"/>
          <w:sz w:val="28"/>
          <w:szCs w:val="28"/>
          <w:highlight w:val="none"/>
        </w:rPr>
      </w:pPr>
      <w:r>
        <w:rPr>
          <w:rFonts w:hint="eastAsia" w:ascii="宋体" w:hAnsi="宋体" w:eastAsia="宋体" w:cs="宋体"/>
          <w:color w:val="FF0000"/>
          <w:kern w:val="0"/>
          <w:sz w:val="28"/>
          <w:szCs w:val="28"/>
          <w:highlight w:val="none"/>
          <w:lang w:val="zh-CN"/>
        </w:rPr>
        <w:t>注：</w:t>
      </w:r>
      <w:r>
        <w:rPr>
          <w:rFonts w:hint="eastAsia" w:ascii="宋体" w:hAnsi="宋体" w:eastAsia="宋体" w:cs="宋体"/>
          <w:color w:val="FF0000"/>
          <w:kern w:val="0"/>
          <w:sz w:val="28"/>
          <w:szCs w:val="28"/>
          <w:highlight w:val="none"/>
        </w:rPr>
        <w:t>投标人必须在开标前将保证金汇入以上账户，否则作废标处理, 缴纳投标保证金账户为涉密账户，账号随机，请投标单位仔细核对账号后缴纳投标保证金，合同签订后，无息退回。</w:t>
      </w:r>
    </w:p>
    <w:p w14:paraId="394484B1">
      <w:pPr>
        <w:adjustRightInd w:val="0"/>
        <w:snapToGrid w:val="0"/>
        <w:spacing w:line="580" w:lineRule="exact"/>
        <w:ind w:firstLine="420" w:firstLineChars="15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5.3 投标人可在 “</w:t>
      </w:r>
      <w:r>
        <w:rPr>
          <w:rFonts w:hint="eastAsia" w:ascii="宋体" w:hAnsi="宋体" w:eastAsia="宋体" w:cs="宋体"/>
          <w:kern w:val="0"/>
          <w:sz w:val="28"/>
          <w:szCs w:val="28"/>
          <w:highlight w:val="none"/>
        </w:rPr>
        <w:t>宜兴</w:t>
      </w:r>
      <w:r>
        <w:rPr>
          <w:rFonts w:hint="eastAsia" w:ascii="宋体" w:hAnsi="宋体" w:eastAsia="宋体" w:cs="宋体"/>
          <w:kern w:val="0"/>
          <w:sz w:val="28"/>
          <w:szCs w:val="28"/>
          <w:highlight w:val="none"/>
          <w:lang w:eastAsia="zh-CN"/>
        </w:rPr>
        <w:t>公用环保集团有限公司</w:t>
      </w:r>
      <w:r>
        <w:rPr>
          <w:rFonts w:hint="eastAsia" w:ascii="宋体" w:hAnsi="宋体" w:eastAsia="宋体" w:cs="宋体"/>
          <w:kern w:val="0"/>
          <w:sz w:val="28"/>
          <w:szCs w:val="28"/>
          <w:highlight w:val="none"/>
          <w:lang w:val="en-US" w:eastAsia="zh-CN"/>
        </w:rPr>
        <w:t>”网站下载招标文件及有关资料。投标人须按招标文件要求提交全部资料并对招标文件各项内容作出实质性响应，</w:t>
      </w:r>
      <w:bookmarkStart w:id="40" w:name="_GoBack"/>
      <w:bookmarkEnd w:id="40"/>
      <w:r>
        <w:rPr>
          <w:rFonts w:hint="eastAsia" w:ascii="宋体" w:hAnsi="宋体" w:eastAsia="宋体" w:cs="宋体"/>
          <w:kern w:val="0"/>
          <w:sz w:val="28"/>
          <w:szCs w:val="28"/>
          <w:highlight w:val="none"/>
          <w:lang w:val="en-US" w:eastAsia="zh-CN"/>
        </w:rPr>
        <w:t>否则投标无效。</w:t>
      </w:r>
    </w:p>
    <w:p w14:paraId="3F5E6601">
      <w:pPr>
        <w:adjustRightInd w:val="0"/>
        <w:snapToGrid w:val="0"/>
        <w:spacing w:line="580" w:lineRule="exact"/>
        <w:ind w:firstLine="420" w:firstLineChars="15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5.4 招标文件包括本文件目录所列全部内容及其附件，如有缺漏，请立即与江苏鸿成工程项目管理有限公司联系解决。</w:t>
      </w:r>
    </w:p>
    <w:p w14:paraId="4ED0FF16">
      <w:pPr>
        <w:adjustRightInd w:val="0"/>
        <w:snapToGrid w:val="0"/>
        <w:spacing w:line="580" w:lineRule="exact"/>
        <w:ind w:firstLine="420" w:firstLineChars="15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5.5 招标文件如与招标公告有不一致的地方，以招标文件为准。</w:t>
      </w:r>
    </w:p>
    <w:p w14:paraId="5FA156C3">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23" w:name="_Toc93403944"/>
      <w:bookmarkStart w:id="24" w:name="_Toc27319"/>
      <w:bookmarkStart w:id="25" w:name="_Toc18985"/>
      <w:r>
        <w:rPr>
          <w:rFonts w:hint="eastAsia" w:ascii="宋体" w:hAnsi="宋体" w:eastAsia="宋体" w:cs="宋体"/>
          <w:b/>
          <w:kern w:val="0"/>
          <w:sz w:val="28"/>
          <w:szCs w:val="28"/>
          <w:highlight w:val="none"/>
          <w:lang w:val="en-US" w:eastAsia="zh-CN" w:bidi="ar-SA"/>
        </w:rPr>
        <w:t>6.</w:t>
      </w:r>
      <w:bookmarkEnd w:id="22"/>
      <w:r>
        <w:rPr>
          <w:rFonts w:hint="eastAsia" w:ascii="宋体" w:hAnsi="宋体" w:eastAsia="宋体" w:cs="宋体"/>
          <w:b/>
          <w:kern w:val="0"/>
          <w:sz w:val="28"/>
          <w:szCs w:val="28"/>
          <w:highlight w:val="none"/>
          <w:lang w:val="en-US" w:eastAsia="zh-CN" w:bidi="ar-SA"/>
        </w:rPr>
        <w:t xml:space="preserve"> 投标文件递交</w:t>
      </w:r>
      <w:bookmarkEnd w:id="23"/>
      <w:bookmarkEnd w:id="24"/>
      <w:bookmarkEnd w:id="25"/>
    </w:p>
    <w:p w14:paraId="4B8A691B">
      <w:pPr>
        <w:widowControl/>
        <w:autoSpaceDE w:val="0"/>
        <w:spacing w:line="580" w:lineRule="exact"/>
        <w:ind w:firstLine="420" w:firstLineChars="150"/>
        <w:jc w:val="left"/>
        <w:rPr>
          <w:rFonts w:hint="eastAsia" w:ascii="宋体" w:hAnsi="宋体" w:eastAsia="宋体" w:cs="宋体"/>
          <w:kern w:val="0"/>
          <w:sz w:val="28"/>
          <w:szCs w:val="28"/>
          <w:highlight w:val="none"/>
          <w:lang w:val="en-US" w:eastAsia="zh-CN" w:bidi="ar-SA"/>
        </w:rPr>
      </w:pPr>
      <w:bookmarkStart w:id="26" w:name="_Toc519004558"/>
      <w:r>
        <w:rPr>
          <w:rFonts w:hint="eastAsia" w:ascii="宋体" w:hAnsi="宋体" w:eastAsia="宋体" w:cs="宋体"/>
          <w:kern w:val="2"/>
          <w:sz w:val="28"/>
          <w:szCs w:val="28"/>
          <w:highlight w:val="none"/>
          <w:lang w:val="en-US" w:eastAsia="zh-CN" w:bidi="ar-SA"/>
        </w:rPr>
        <w:t>6.1 投标截止时间为</w:t>
      </w:r>
      <w:r>
        <w:rPr>
          <w:rFonts w:hint="eastAsia" w:ascii="宋体" w:hAnsi="宋体" w:eastAsia="宋体" w:cs="宋体"/>
          <w:kern w:val="0"/>
          <w:sz w:val="28"/>
          <w:szCs w:val="28"/>
          <w:highlight w:val="none"/>
          <w:lang w:val="en-US" w:eastAsia="zh-CN" w:bidi="ar-SA"/>
        </w:rPr>
        <w:t>：</w:t>
      </w:r>
      <w:r>
        <w:rPr>
          <w:rFonts w:hint="eastAsia" w:ascii="宋体" w:hAnsi="宋体" w:eastAsia="宋体" w:cs="宋体"/>
          <w:kern w:val="2"/>
          <w:sz w:val="28"/>
          <w:szCs w:val="28"/>
          <w:highlight w:val="none"/>
          <w:u w:val="single"/>
          <w:lang w:val="en-US" w:eastAsia="zh-CN" w:bidi="ar-SA"/>
        </w:rPr>
        <w:t>2025</w:t>
      </w:r>
      <w:r>
        <w:rPr>
          <w:rFonts w:hint="eastAsia" w:ascii="宋体" w:hAnsi="宋体" w:eastAsia="宋体" w:cs="宋体"/>
          <w:kern w:val="2"/>
          <w:sz w:val="28"/>
          <w:szCs w:val="28"/>
          <w:highlight w:val="none"/>
          <w:lang w:val="en-US" w:eastAsia="zh-CN" w:bidi="ar-SA"/>
        </w:rPr>
        <w:t>年</w:t>
      </w:r>
      <w:r>
        <w:rPr>
          <w:rFonts w:hint="eastAsia" w:ascii="宋体" w:hAnsi="宋体" w:eastAsia="宋体" w:cs="宋体"/>
          <w:kern w:val="2"/>
          <w:sz w:val="28"/>
          <w:szCs w:val="28"/>
          <w:highlight w:val="none"/>
          <w:u w:val="single"/>
          <w:lang w:val="en-US" w:eastAsia="zh-CN" w:bidi="ar-SA"/>
        </w:rPr>
        <w:t>2</w:t>
      </w:r>
      <w:r>
        <w:rPr>
          <w:rFonts w:hint="eastAsia" w:ascii="宋体" w:hAnsi="宋体" w:eastAsia="宋体" w:cs="宋体"/>
          <w:kern w:val="2"/>
          <w:sz w:val="28"/>
          <w:szCs w:val="28"/>
          <w:highlight w:val="none"/>
          <w:lang w:val="en-US" w:eastAsia="zh-CN" w:bidi="ar-SA"/>
        </w:rPr>
        <w:t>月</w:t>
      </w:r>
      <w:r>
        <w:rPr>
          <w:rFonts w:hint="eastAsia" w:ascii="宋体" w:hAnsi="宋体" w:eastAsia="宋体" w:cs="宋体"/>
          <w:kern w:val="2"/>
          <w:sz w:val="28"/>
          <w:szCs w:val="28"/>
          <w:highlight w:val="none"/>
          <w:u w:val="single"/>
          <w:lang w:val="en-US" w:eastAsia="zh-CN" w:bidi="ar-SA"/>
        </w:rPr>
        <w:t>17</w:t>
      </w:r>
      <w:r>
        <w:rPr>
          <w:rFonts w:hint="eastAsia" w:ascii="宋体" w:hAnsi="宋体" w:eastAsia="宋体" w:cs="宋体"/>
          <w:kern w:val="2"/>
          <w:sz w:val="28"/>
          <w:szCs w:val="28"/>
          <w:highlight w:val="none"/>
          <w:lang w:val="en-US" w:eastAsia="zh-CN" w:bidi="ar-SA"/>
        </w:rPr>
        <w:t>日</w:t>
      </w:r>
      <w:r>
        <w:rPr>
          <w:rFonts w:hint="eastAsia" w:ascii="宋体" w:hAnsi="宋体" w:eastAsia="宋体" w:cs="宋体"/>
          <w:kern w:val="2"/>
          <w:sz w:val="28"/>
          <w:szCs w:val="28"/>
          <w:highlight w:val="none"/>
          <w:u w:val="single"/>
          <w:lang w:val="en-US" w:eastAsia="zh-CN" w:bidi="ar-SA"/>
        </w:rPr>
        <w:t>14</w:t>
      </w:r>
      <w:r>
        <w:rPr>
          <w:rFonts w:hint="eastAsia" w:ascii="宋体" w:hAnsi="宋体" w:eastAsia="宋体" w:cs="宋体"/>
          <w:kern w:val="2"/>
          <w:sz w:val="28"/>
          <w:szCs w:val="28"/>
          <w:highlight w:val="none"/>
          <w:lang w:val="en-US" w:eastAsia="zh-CN" w:bidi="ar-SA"/>
        </w:rPr>
        <w:t>时</w:t>
      </w:r>
      <w:r>
        <w:rPr>
          <w:rFonts w:hint="eastAsia" w:ascii="宋体" w:hAnsi="宋体" w:eastAsia="宋体" w:cs="宋体"/>
          <w:kern w:val="2"/>
          <w:sz w:val="28"/>
          <w:szCs w:val="28"/>
          <w:highlight w:val="none"/>
          <w:u w:val="single"/>
          <w:lang w:val="en-US" w:eastAsia="zh-CN" w:bidi="ar-SA"/>
        </w:rPr>
        <w:t>00</w:t>
      </w:r>
      <w:r>
        <w:rPr>
          <w:rFonts w:hint="eastAsia" w:ascii="宋体" w:hAnsi="宋体" w:eastAsia="宋体" w:cs="宋体"/>
          <w:kern w:val="2"/>
          <w:sz w:val="28"/>
          <w:szCs w:val="28"/>
          <w:highlight w:val="none"/>
          <w:lang w:val="en-US" w:eastAsia="zh-CN" w:bidi="ar-SA"/>
        </w:rPr>
        <w:t>分</w:t>
      </w:r>
      <w:r>
        <w:rPr>
          <w:rFonts w:hint="eastAsia" w:ascii="宋体" w:hAnsi="宋体" w:eastAsia="宋体" w:cs="宋体"/>
          <w:kern w:val="2"/>
          <w:sz w:val="28"/>
          <w:szCs w:val="28"/>
          <w:highlight w:val="none"/>
          <w:lang w:val="en-US" w:eastAsia="zh-CN" w:bidi="ar-SA"/>
        </w:rPr>
        <w:t>，地点为：</w:t>
      </w:r>
      <w:r>
        <w:rPr>
          <w:rFonts w:hint="eastAsia" w:ascii="宋体" w:hAnsi="宋体" w:eastAsia="宋体" w:cs="宋体"/>
          <w:kern w:val="2"/>
          <w:sz w:val="28"/>
          <w:szCs w:val="28"/>
          <w:highlight w:val="none"/>
          <w:u w:val="single"/>
          <w:lang w:val="en-US" w:eastAsia="zh-CN" w:bidi="ar-SA"/>
        </w:rPr>
        <w:t>宜兴市公用环保集团有限公司二楼开标室（宜兴市环科园绿园路528号孵化园）</w:t>
      </w:r>
      <w:r>
        <w:rPr>
          <w:rFonts w:hint="eastAsia" w:ascii="宋体" w:hAnsi="宋体" w:eastAsia="宋体" w:cs="宋体"/>
          <w:kern w:val="0"/>
          <w:sz w:val="28"/>
          <w:szCs w:val="28"/>
          <w:highlight w:val="none"/>
          <w:lang w:val="en-US" w:eastAsia="zh-CN" w:bidi="ar-SA"/>
        </w:rPr>
        <w:t>。</w:t>
      </w:r>
    </w:p>
    <w:p w14:paraId="17EF0ABA">
      <w:pPr>
        <w:topLinePunct/>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6.2逾期送达的或者未送达指定地点的投标文件，招标人不予受理。</w:t>
      </w:r>
    </w:p>
    <w:p w14:paraId="061F14FE">
      <w:pPr>
        <w:topLinePunct/>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6.3开标</w:t>
      </w:r>
      <w:r>
        <w:rPr>
          <w:rFonts w:hint="eastAsia" w:ascii="宋体" w:hAnsi="宋体" w:eastAsia="宋体" w:cs="宋体"/>
          <w:sz w:val="28"/>
          <w:szCs w:val="28"/>
          <w:highlight w:val="none"/>
          <w:lang w:eastAsia="zh-CN"/>
        </w:rPr>
        <w:t>前资格</w:t>
      </w:r>
      <w:r>
        <w:rPr>
          <w:rFonts w:hint="eastAsia" w:ascii="宋体" w:hAnsi="宋体" w:eastAsia="宋体" w:cs="宋体"/>
          <w:sz w:val="28"/>
          <w:szCs w:val="28"/>
          <w:highlight w:val="none"/>
        </w:rPr>
        <w:t>审查资料</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原件或复印件加盖公章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：①法定代表人身份证明书；②授权委托书；③授权委托人身份证和近三个月投标单位为其办理的社保缴费清单（指</w:t>
      </w:r>
      <w:r>
        <w:rPr>
          <w:rFonts w:hint="eastAsia" w:ascii="宋体" w:hAnsi="宋体" w:eastAsia="宋体" w:cs="宋体"/>
          <w:sz w:val="28"/>
          <w:szCs w:val="28"/>
          <w:highlight w:val="none"/>
          <w:lang w:eastAsia="zh-CN"/>
        </w:rPr>
        <w:t>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lang w:eastAsia="zh-CN"/>
        </w:rPr>
        <w:t>月-202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rPr>
        <w:t>任意连续三个月，法定代表人无需提供，如授权委托人同时为投标项目负责人则不需提供）；④营业执照（副本）；⑤资质证书（副本）；⑥</w:t>
      </w:r>
      <w:r>
        <w:rPr>
          <w:rFonts w:hint="eastAsia" w:ascii="宋体" w:hAnsi="宋体" w:eastAsia="宋体" w:cs="宋体"/>
          <w:sz w:val="28"/>
          <w:szCs w:val="28"/>
          <w:highlight w:val="none"/>
          <w:lang w:val="en-US" w:eastAsia="zh-CN"/>
        </w:rPr>
        <w:t>项目负责人证书和近三个月投标单位为其办理的社保缴费清单（指</w:t>
      </w:r>
      <w:r>
        <w:rPr>
          <w:rFonts w:hint="eastAsia" w:ascii="宋体" w:hAnsi="宋体" w:eastAsia="宋体" w:cs="宋体"/>
          <w:sz w:val="28"/>
          <w:szCs w:val="28"/>
          <w:highlight w:val="none"/>
          <w:lang w:val="en-US" w:eastAsia="zh-CN"/>
        </w:rPr>
        <w:t>2024年9月-2025年2月</w:t>
      </w:r>
      <w:r>
        <w:rPr>
          <w:rFonts w:hint="eastAsia" w:ascii="宋体" w:hAnsi="宋体" w:eastAsia="宋体" w:cs="宋体"/>
          <w:sz w:val="28"/>
          <w:szCs w:val="28"/>
          <w:highlight w:val="none"/>
          <w:lang w:val="en-US" w:eastAsia="zh-CN"/>
        </w:rPr>
        <w:t>任意连续三个月）</w:t>
      </w:r>
      <w:r>
        <w:rPr>
          <w:rFonts w:hint="eastAsia" w:ascii="宋体" w:hAnsi="宋体" w:eastAsia="宋体" w:cs="宋体"/>
          <w:sz w:val="28"/>
          <w:szCs w:val="28"/>
          <w:highlight w:val="none"/>
        </w:rPr>
        <w:t>；⑦投标保证金</w:t>
      </w:r>
      <w:r>
        <w:rPr>
          <w:rFonts w:hint="eastAsia" w:ascii="宋体" w:hAnsi="宋体" w:eastAsia="宋体" w:cs="宋体"/>
          <w:sz w:val="28"/>
          <w:szCs w:val="28"/>
          <w:highlight w:val="none"/>
          <w:lang w:eastAsia="zh-CN"/>
        </w:rPr>
        <w:t>证明材料</w:t>
      </w:r>
      <w:r>
        <w:rPr>
          <w:rFonts w:hint="eastAsia" w:ascii="宋体" w:hAnsi="宋体" w:eastAsia="宋体" w:cs="宋体"/>
          <w:sz w:val="28"/>
          <w:szCs w:val="28"/>
          <w:highlight w:val="none"/>
        </w:rPr>
        <w:t>。</w:t>
      </w:r>
    </w:p>
    <w:p w14:paraId="495857A9">
      <w:pPr>
        <w:topLinePunct/>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注：法定代表人或其授权委托人出席开标会。</w:t>
      </w:r>
    </w:p>
    <w:p w14:paraId="3980E11A">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27" w:name="_Toc25913"/>
      <w:bookmarkStart w:id="28" w:name="_Toc28961"/>
      <w:bookmarkStart w:id="29" w:name="_Toc93403945"/>
      <w:r>
        <w:rPr>
          <w:rFonts w:hint="eastAsia" w:ascii="宋体" w:hAnsi="宋体" w:eastAsia="宋体" w:cs="宋体"/>
          <w:b/>
          <w:kern w:val="0"/>
          <w:sz w:val="28"/>
          <w:szCs w:val="28"/>
          <w:highlight w:val="none"/>
          <w:lang w:val="en-US" w:eastAsia="zh-CN" w:bidi="ar-SA"/>
        </w:rPr>
        <w:t>7.发布公告的媒介</w:t>
      </w:r>
      <w:bookmarkEnd w:id="27"/>
      <w:bookmarkEnd w:id="28"/>
      <w:bookmarkEnd w:id="29"/>
    </w:p>
    <w:p w14:paraId="2F1FFB21">
      <w:pPr>
        <w:adjustRightInd w:val="0"/>
        <w:snapToGrid w:val="0"/>
        <w:spacing w:line="580" w:lineRule="exact"/>
        <w:ind w:firstLine="420" w:firstLineChars="150"/>
        <w:jc w:val="left"/>
        <w:rPr>
          <w:rFonts w:hint="eastAsia" w:ascii="宋体" w:hAnsi="宋体" w:eastAsia="宋体" w:cs="宋体"/>
          <w:color w:val="auto"/>
          <w:kern w:val="0"/>
          <w:sz w:val="24"/>
          <w:szCs w:val="20"/>
          <w:highlight w:val="none"/>
        </w:rPr>
      </w:pPr>
      <w:r>
        <w:rPr>
          <w:rFonts w:hint="eastAsia" w:ascii="宋体" w:hAnsi="宋体" w:eastAsia="宋体" w:cs="宋体"/>
          <w:sz w:val="28"/>
          <w:szCs w:val="28"/>
          <w:highlight w:val="none"/>
        </w:rPr>
        <w:t>7.1本次招标公告在“宜兴</w:t>
      </w:r>
      <w:r>
        <w:rPr>
          <w:rFonts w:hint="eastAsia" w:ascii="宋体" w:hAnsi="宋体" w:eastAsia="宋体" w:cs="宋体"/>
          <w:sz w:val="28"/>
          <w:szCs w:val="28"/>
          <w:highlight w:val="none"/>
          <w:lang w:eastAsia="zh-CN"/>
        </w:rPr>
        <w:t>公用环保集团有限公司</w:t>
      </w:r>
      <w:r>
        <w:rPr>
          <w:rFonts w:hint="eastAsia" w:ascii="宋体" w:hAnsi="宋体" w:eastAsia="宋体" w:cs="宋体"/>
          <w:sz w:val="28"/>
          <w:szCs w:val="28"/>
          <w:highlight w:val="none"/>
        </w:rPr>
        <w:t>”站上发布。</w:t>
      </w:r>
    </w:p>
    <w:p w14:paraId="1625A198">
      <w:pPr>
        <w:adjustRightInd w:val="0"/>
        <w:snapToGrid w:val="0"/>
        <w:spacing w:line="580" w:lineRule="exact"/>
        <w:ind w:firstLine="420" w:firstLineChars="15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7.2本公告发布日期从</w:t>
      </w:r>
      <w:r>
        <w:rPr>
          <w:rFonts w:hint="eastAsia" w:ascii="宋体" w:hAnsi="宋体" w:eastAsia="宋体" w:cs="宋体"/>
          <w:sz w:val="28"/>
          <w:szCs w:val="28"/>
          <w:highlight w:val="none"/>
          <w:u w:val="single"/>
        </w:rPr>
        <w:t>202</w:t>
      </w:r>
      <w:r>
        <w:rPr>
          <w:rFonts w:hint="eastAsia" w:ascii="宋体" w:hAnsi="宋体" w:eastAsia="宋体" w:cs="宋体"/>
          <w:sz w:val="28"/>
          <w:szCs w:val="28"/>
          <w:highlight w:val="none"/>
          <w:u w:val="singl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lang w:val="en-US" w:eastAsia="zh-CN"/>
        </w:rPr>
        <w:t>8</w:t>
      </w:r>
      <w:r>
        <w:rPr>
          <w:rFonts w:hint="eastAsia" w:ascii="宋体" w:hAnsi="宋体" w:eastAsia="宋体" w:cs="宋体"/>
          <w:sz w:val="28"/>
          <w:szCs w:val="28"/>
          <w:highlight w:val="none"/>
        </w:rPr>
        <w:t>日至</w:t>
      </w:r>
      <w:r>
        <w:rPr>
          <w:rFonts w:hint="eastAsia" w:ascii="宋体" w:hAnsi="宋体" w:eastAsia="宋体" w:cs="宋体"/>
          <w:sz w:val="28"/>
          <w:szCs w:val="28"/>
          <w:highlight w:val="none"/>
          <w:u w:val="single"/>
        </w:rPr>
        <w:t>202</w:t>
      </w:r>
      <w:r>
        <w:rPr>
          <w:rFonts w:hint="eastAsia" w:ascii="宋体" w:hAnsi="宋体" w:eastAsia="宋体" w:cs="宋体"/>
          <w:sz w:val="28"/>
          <w:szCs w:val="28"/>
          <w:highlight w:val="none"/>
          <w:u w:val="singl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lang w:val="en-US" w:eastAsia="zh-CN"/>
        </w:rPr>
        <w:t>12</w:t>
      </w:r>
      <w:r>
        <w:rPr>
          <w:rFonts w:hint="eastAsia" w:ascii="宋体" w:hAnsi="宋体" w:eastAsia="宋体" w:cs="宋体"/>
          <w:sz w:val="28"/>
          <w:szCs w:val="28"/>
          <w:highlight w:val="none"/>
        </w:rPr>
        <w:t>日</w:t>
      </w:r>
      <w:r>
        <w:rPr>
          <w:rFonts w:hint="eastAsia" w:ascii="宋体" w:hAnsi="宋体" w:eastAsia="宋体" w:cs="宋体"/>
          <w:sz w:val="28"/>
          <w:szCs w:val="28"/>
          <w:highlight w:val="none"/>
        </w:rPr>
        <w:t>，本公告为第</w:t>
      </w:r>
      <w:r>
        <w:rPr>
          <w:rFonts w:hint="eastAsia" w:ascii="宋体" w:hAnsi="宋体" w:eastAsia="宋体" w:cs="宋体"/>
          <w:sz w:val="28"/>
          <w:szCs w:val="28"/>
          <w:highlight w:val="none"/>
          <w:u w:val="single"/>
        </w:rPr>
        <w:t>1</w:t>
      </w:r>
      <w:r>
        <w:rPr>
          <w:rFonts w:hint="eastAsia" w:ascii="宋体" w:hAnsi="宋体" w:eastAsia="宋体" w:cs="宋体"/>
          <w:sz w:val="28"/>
          <w:szCs w:val="28"/>
          <w:highlight w:val="none"/>
        </w:rPr>
        <w:t>次发布。</w:t>
      </w:r>
    </w:p>
    <w:p w14:paraId="3CB4FB97">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30" w:name="_Toc28357"/>
      <w:bookmarkStart w:id="31" w:name="_Toc93403946"/>
      <w:bookmarkStart w:id="32" w:name="_Toc5598"/>
      <w:r>
        <w:rPr>
          <w:rFonts w:hint="eastAsia" w:ascii="宋体" w:hAnsi="宋体" w:eastAsia="宋体" w:cs="宋体"/>
          <w:b/>
          <w:kern w:val="0"/>
          <w:sz w:val="28"/>
          <w:szCs w:val="28"/>
          <w:highlight w:val="none"/>
          <w:lang w:val="en-US" w:eastAsia="zh-CN" w:bidi="ar-SA"/>
        </w:rPr>
        <w:t>8.其他：</w:t>
      </w:r>
      <w:bookmarkEnd w:id="30"/>
      <w:bookmarkEnd w:id="31"/>
      <w:bookmarkEnd w:id="32"/>
    </w:p>
    <w:p w14:paraId="0624B29D">
      <w:pPr>
        <w:autoSpaceDN w:val="0"/>
        <w:spacing w:line="580" w:lineRule="exact"/>
        <w:ind w:firstLine="420" w:firstLineChars="150"/>
        <w:jc w:val="left"/>
        <w:rPr>
          <w:rFonts w:hint="eastAsia" w:ascii="宋体" w:hAnsi="宋体" w:eastAsia="宋体" w:cs="宋体"/>
          <w:sz w:val="28"/>
          <w:szCs w:val="28"/>
          <w:highlight w:val="none"/>
        </w:rPr>
      </w:pPr>
      <w:bookmarkStart w:id="33" w:name="_Toc277171777"/>
      <w:bookmarkStart w:id="34" w:name="_Toc266803099"/>
      <w:bookmarkStart w:id="35" w:name="_Toc330978275"/>
      <w:r>
        <w:rPr>
          <w:rFonts w:hint="eastAsia" w:ascii="宋体" w:hAnsi="宋体" w:eastAsia="宋体" w:cs="宋体"/>
          <w:sz w:val="28"/>
          <w:szCs w:val="28"/>
          <w:highlight w:val="none"/>
        </w:rPr>
        <w:t>8.1有不良行为在公示期内被暂停投标资格的投标人不得参加本项目投标。</w:t>
      </w:r>
    </w:p>
    <w:p w14:paraId="78E2E78F">
      <w:pPr>
        <w:widowControl/>
        <w:spacing w:before="0" w:beforeAutospacing="0" w:after="0" w:afterAutospacing="0" w:line="580" w:lineRule="exact"/>
        <w:ind w:firstLine="420" w:firstLineChars="150"/>
        <w:jc w:val="left"/>
        <w:rPr>
          <w:rFonts w:hint="default" w:ascii="宋体" w:hAnsi="宋体" w:eastAsia="宋体" w:cs="宋体"/>
          <w:kern w:val="0"/>
          <w:sz w:val="28"/>
          <w:szCs w:val="28"/>
          <w:highlight w:val="none"/>
          <w:shd w:val="clear" w:color="auto" w:fill="FFFFFF"/>
          <w:lang w:val="en-US" w:eastAsia="zh-CN" w:bidi="ar-SA"/>
        </w:rPr>
      </w:pPr>
      <w:r>
        <w:rPr>
          <w:rFonts w:hint="eastAsia" w:ascii="宋体" w:hAnsi="宋体" w:eastAsia="宋体" w:cs="宋体"/>
          <w:kern w:val="0"/>
          <w:sz w:val="28"/>
          <w:szCs w:val="28"/>
          <w:highlight w:val="none"/>
          <w:shd w:val="clear" w:color="auto" w:fill="FFFFFF"/>
          <w:lang w:val="en-US" w:eastAsia="zh-CN" w:bidi="ar-SA"/>
        </w:rPr>
        <w:t>8.2资格证明材料在年检期间需要行政主管部门出具证明的，证明内容必须明确其有效性，如“同意延期至*年*月*日有效”，“同意继续有效，本证明有效期10天”等。未标明有效期的，统一按出具证明之日起10天内有效。标明有效期的，不得超过30天，标明的有效期如超过30天的，在出具证明之日起30天内有效，超出30天时不予认可。如证明内容模棱两可、含糊不清的，如“正在办理中”等，不予认可。</w:t>
      </w:r>
    </w:p>
    <w:bookmarkEnd w:id="26"/>
    <w:bookmarkEnd w:id="33"/>
    <w:bookmarkEnd w:id="34"/>
    <w:bookmarkEnd w:id="35"/>
    <w:p w14:paraId="126F6CA0">
      <w:pPr>
        <w:keepNext/>
        <w:keepLines/>
        <w:widowControl w:val="0"/>
        <w:spacing w:before="0" w:after="0" w:line="580" w:lineRule="exact"/>
        <w:jc w:val="left"/>
        <w:outlineLvl w:val="1"/>
        <w:rPr>
          <w:rFonts w:hint="eastAsia" w:ascii="宋体" w:hAnsi="宋体" w:eastAsia="宋体" w:cs="宋体"/>
          <w:b/>
          <w:kern w:val="0"/>
          <w:sz w:val="28"/>
          <w:szCs w:val="28"/>
          <w:highlight w:val="none"/>
          <w:lang w:val="en-US" w:eastAsia="zh-CN" w:bidi="ar-SA"/>
        </w:rPr>
      </w:pPr>
      <w:bookmarkStart w:id="36" w:name="_Toc4518"/>
      <w:bookmarkStart w:id="37" w:name="_Toc398107834"/>
      <w:bookmarkStart w:id="38" w:name="_Toc8737"/>
      <w:bookmarkStart w:id="39" w:name="_Toc93403947"/>
      <w:r>
        <w:rPr>
          <w:rFonts w:hint="eastAsia" w:ascii="宋体" w:hAnsi="宋体" w:eastAsia="宋体" w:cs="宋体"/>
          <w:b/>
          <w:kern w:val="0"/>
          <w:sz w:val="28"/>
          <w:szCs w:val="28"/>
          <w:highlight w:val="none"/>
          <w:lang w:val="en-US" w:eastAsia="zh-CN" w:bidi="ar-SA"/>
        </w:rPr>
        <w:t>9.联系方式</w:t>
      </w:r>
      <w:bookmarkEnd w:id="36"/>
      <w:bookmarkEnd w:id="37"/>
      <w:bookmarkEnd w:id="38"/>
      <w:bookmarkEnd w:id="39"/>
    </w:p>
    <w:p w14:paraId="57A6E434">
      <w:pPr>
        <w:widowControl w:val="0"/>
        <w:autoSpaceDN w:val="0"/>
        <w:spacing w:line="580" w:lineRule="exact"/>
        <w:ind w:right="42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招 标 人：</w:t>
      </w:r>
      <w:r>
        <w:rPr>
          <w:rFonts w:hint="eastAsia" w:ascii="宋体" w:hAnsi="宋体" w:eastAsia="宋体" w:cs="宋体"/>
          <w:kern w:val="2"/>
          <w:sz w:val="28"/>
          <w:szCs w:val="28"/>
          <w:highlight w:val="none"/>
          <w:u w:val="single"/>
          <w:lang w:val="en-US" w:eastAsia="zh-CN" w:bidi="ar-SA"/>
        </w:rPr>
        <w:t>宜兴市环保集团有限公司</w:t>
      </w:r>
    </w:p>
    <w:p w14:paraId="388D93EE">
      <w:pPr>
        <w:widowControl w:val="0"/>
        <w:autoSpaceDN w:val="0"/>
        <w:spacing w:line="580" w:lineRule="exact"/>
        <w:jc w:val="left"/>
        <w:rPr>
          <w:rFonts w:hint="eastAsia" w:ascii="宋体" w:hAnsi="宋体" w:eastAsia="宋体" w:cs="宋体"/>
          <w:kern w:val="2"/>
          <w:sz w:val="28"/>
          <w:szCs w:val="28"/>
          <w:highlight w:val="none"/>
          <w:u w:val="single"/>
          <w:lang w:val="en-US" w:eastAsia="zh-CN" w:bidi="ar-SA"/>
        </w:rPr>
      </w:pPr>
      <w:r>
        <w:rPr>
          <w:rFonts w:hint="eastAsia" w:ascii="宋体" w:hAnsi="宋体" w:eastAsia="宋体" w:cs="宋体"/>
          <w:kern w:val="2"/>
          <w:sz w:val="28"/>
          <w:szCs w:val="28"/>
          <w:highlight w:val="none"/>
          <w:lang w:val="en-US" w:eastAsia="zh-CN" w:bidi="ar-SA"/>
        </w:rPr>
        <w:t>地    址：</w:t>
      </w:r>
      <w:r>
        <w:rPr>
          <w:rFonts w:hint="eastAsia" w:ascii="宋体" w:hAnsi="宋体" w:eastAsia="宋体" w:cs="宋体"/>
          <w:kern w:val="2"/>
          <w:sz w:val="28"/>
          <w:szCs w:val="28"/>
          <w:highlight w:val="none"/>
          <w:u w:val="single"/>
          <w:lang w:val="en-US" w:eastAsia="zh-CN" w:bidi="ar-SA"/>
        </w:rPr>
        <w:t>宜兴市</w:t>
      </w:r>
    </w:p>
    <w:p w14:paraId="2A70E0A9">
      <w:pPr>
        <w:widowControl w:val="0"/>
        <w:autoSpaceDN w:val="0"/>
        <w:spacing w:line="580" w:lineRule="exact"/>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联 系 人（异议受理人）：</w:t>
      </w:r>
      <w:r>
        <w:rPr>
          <w:rFonts w:hint="eastAsia" w:ascii="宋体" w:hAnsi="宋体" w:eastAsia="宋体" w:cs="宋体"/>
          <w:kern w:val="2"/>
          <w:sz w:val="28"/>
          <w:szCs w:val="28"/>
          <w:highlight w:val="none"/>
          <w:u w:val="single"/>
          <w:lang w:val="en-US" w:eastAsia="zh-CN" w:bidi="ar-SA"/>
        </w:rPr>
        <w:t>刘先生</w:t>
      </w:r>
    </w:p>
    <w:p w14:paraId="47678D02">
      <w:pPr>
        <w:widowControl w:val="0"/>
        <w:autoSpaceDN w:val="0"/>
        <w:spacing w:line="580" w:lineRule="exact"/>
        <w:jc w:val="left"/>
        <w:rPr>
          <w:rFonts w:hint="eastAsia" w:ascii="宋体" w:hAnsi="宋体" w:eastAsia="宋体" w:cs="宋体"/>
          <w:kern w:val="2"/>
          <w:sz w:val="28"/>
          <w:szCs w:val="28"/>
          <w:highlight w:val="none"/>
          <w:u w:val="single"/>
          <w:lang w:val="en-US" w:eastAsia="zh-CN" w:bidi="ar-SA"/>
        </w:rPr>
      </w:pPr>
      <w:r>
        <w:rPr>
          <w:rFonts w:hint="eastAsia" w:ascii="宋体" w:hAnsi="宋体" w:eastAsia="宋体" w:cs="宋体"/>
          <w:kern w:val="2"/>
          <w:sz w:val="28"/>
          <w:szCs w:val="28"/>
          <w:highlight w:val="none"/>
          <w:lang w:val="en-US" w:eastAsia="zh-CN" w:bidi="ar-SA"/>
        </w:rPr>
        <w:t>电    话：</w:t>
      </w:r>
      <w:r>
        <w:rPr>
          <w:rFonts w:hint="eastAsia" w:ascii="宋体" w:hAnsi="宋体" w:eastAsia="宋体" w:cs="宋体"/>
          <w:kern w:val="2"/>
          <w:sz w:val="28"/>
          <w:szCs w:val="28"/>
          <w:highlight w:val="none"/>
          <w:u w:val="single"/>
          <w:lang w:val="en-US" w:eastAsia="zh-CN" w:bidi="ar-SA"/>
        </w:rPr>
        <w:t>0510-80718885</w:t>
      </w:r>
    </w:p>
    <w:p w14:paraId="6A9968DB">
      <w:pPr>
        <w:widowControl w:val="0"/>
        <w:autoSpaceDN w:val="0"/>
        <w:ind w:right="420"/>
        <w:jc w:val="left"/>
        <w:rPr>
          <w:rFonts w:hint="eastAsia" w:ascii="宋体" w:hAnsi="宋体" w:eastAsia="宋体" w:cs="宋体"/>
          <w:sz w:val="28"/>
          <w:szCs w:val="28"/>
          <w:highlight w:val="none"/>
          <w:u w:val="single"/>
          <w:lang w:val="en-US" w:eastAsia="zh-CN" w:bidi="ar-SA"/>
        </w:rPr>
      </w:pPr>
      <w:r>
        <w:rPr>
          <w:rFonts w:hint="eastAsia" w:ascii="宋体" w:hAnsi="宋体" w:eastAsia="宋体" w:cs="宋体"/>
          <w:sz w:val="28"/>
          <w:szCs w:val="28"/>
          <w:highlight w:val="none"/>
          <w:lang w:val="en-US" w:eastAsia="zh-CN" w:bidi="ar-SA"/>
        </w:rPr>
        <w:t>招标代理机构：</w:t>
      </w:r>
      <w:r>
        <w:rPr>
          <w:rFonts w:hint="eastAsia" w:ascii="宋体" w:hAnsi="宋体" w:eastAsia="宋体" w:cs="宋体"/>
          <w:sz w:val="28"/>
          <w:szCs w:val="28"/>
          <w:highlight w:val="none"/>
          <w:u w:val="single"/>
          <w:lang w:val="en-US" w:eastAsia="zh-CN" w:bidi="ar-SA"/>
        </w:rPr>
        <w:t>江苏鸿成工程项目管理有限公司</w:t>
      </w:r>
    </w:p>
    <w:p w14:paraId="1A587F50">
      <w:pPr>
        <w:widowControl w:val="0"/>
        <w:autoSpaceDN w:val="0"/>
        <w:jc w:val="left"/>
        <w:rPr>
          <w:rFonts w:hint="eastAsia" w:ascii="宋体" w:hAnsi="宋体" w:eastAsia="宋体" w:cs="宋体"/>
          <w:sz w:val="28"/>
          <w:szCs w:val="28"/>
          <w:highlight w:val="none"/>
          <w:u w:val="single"/>
          <w:lang w:val="en-US" w:eastAsia="zh-CN" w:bidi="ar-SA"/>
        </w:rPr>
      </w:pPr>
      <w:r>
        <w:rPr>
          <w:rFonts w:hint="eastAsia" w:ascii="宋体" w:hAnsi="宋体" w:eastAsia="宋体" w:cs="宋体"/>
          <w:sz w:val="28"/>
          <w:szCs w:val="28"/>
          <w:highlight w:val="none"/>
          <w:lang w:val="en-US" w:eastAsia="zh-CN" w:bidi="ar-SA"/>
        </w:rPr>
        <w:t>地    址：</w:t>
      </w:r>
      <w:r>
        <w:rPr>
          <w:rFonts w:hint="eastAsia" w:ascii="宋体" w:hAnsi="宋体" w:eastAsia="宋体" w:cs="宋体"/>
          <w:sz w:val="28"/>
          <w:szCs w:val="28"/>
          <w:highlight w:val="none"/>
          <w:u w:val="single"/>
          <w:lang w:val="en-US" w:eastAsia="zh-CN" w:bidi="ar-SA"/>
        </w:rPr>
        <w:t>宜兴市杏园路108号科创商务中心5号楼</w:t>
      </w:r>
    </w:p>
    <w:p w14:paraId="5018ED2A">
      <w:pPr>
        <w:widowControl w:val="0"/>
        <w:autoSpaceDN w:val="0"/>
        <w:spacing w:line="580" w:lineRule="exact"/>
        <w:jc w:val="left"/>
        <w:rPr>
          <w:rFonts w:hint="eastAsia" w:ascii="宋体" w:hAnsi="宋体" w:eastAsia="宋体" w:cs="宋体"/>
          <w:kern w:val="2"/>
          <w:sz w:val="28"/>
          <w:szCs w:val="28"/>
          <w:highlight w:val="none"/>
          <w:u w:val="single"/>
          <w:lang w:val="en-US" w:eastAsia="zh-CN" w:bidi="ar-SA"/>
        </w:rPr>
      </w:pPr>
      <w:r>
        <w:rPr>
          <w:rFonts w:hint="eastAsia" w:ascii="宋体" w:hAnsi="宋体" w:eastAsia="宋体" w:cs="宋体"/>
          <w:kern w:val="2"/>
          <w:sz w:val="28"/>
          <w:szCs w:val="28"/>
          <w:highlight w:val="none"/>
          <w:lang w:val="en-US" w:eastAsia="zh-CN" w:bidi="ar-SA"/>
        </w:rPr>
        <w:t>联 系 人：</w:t>
      </w:r>
      <w:r>
        <w:rPr>
          <w:rFonts w:hint="eastAsia" w:ascii="宋体" w:hAnsi="宋体" w:eastAsia="宋体" w:cs="宋体"/>
          <w:kern w:val="2"/>
          <w:sz w:val="28"/>
          <w:szCs w:val="28"/>
          <w:highlight w:val="none"/>
          <w:u w:val="single"/>
          <w:lang w:val="en-US" w:eastAsia="zh-CN" w:bidi="ar-SA"/>
        </w:rPr>
        <w:t>刘先生</w:t>
      </w:r>
    </w:p>
    <w:p w14:paraId="674F3A93">
      <w:pPr>
        <w:widowControl w:val="0"/>
        <w:autoSpaceDN w:val="0"/>
        <w:spacing w:line="580" w:lineRule="exact"/>
        <w:jc w:val="left"/>
        <w:rPr>
          <w:rFonts w:hint="eastAsia" w:ascii="宋体" w:hAnsi="宋体" w:eastAsia="宋体" w:cs="宋体"/>
          <w:kern w:val="2"/>
          <w:sz w:val="28"/>
          <w:szCs w:val="28"/>
          <w:highlight w:val="none"/>
          <w:u w:val="single"/>
          <w:lang w:val="en-US" w:eastAsia="zh-CN" w:bidi="ar-SA"/>
        </w:rPr>
      </w:pPr>
      <w:r>
        <w:rPr>
          <w:rFonts w:hint="eastAsia" w:ascii="宋体" w:hAnsi="宋体" w:eastAsia="宋体" w:cs="宋体"/>
          <w:kern w:val="2"/>
          <w:sz w:val="28"/>
          <w:szCs w:val="28"/>
          <w:highlight w:val="none"/>
          <w:lang w:val="en-US" w:eastAsia="zh-CN" w:bidi="ar-SA"/>
        </w:rPr>
        <w:t>电    话：</w:t>
      </w:r>
      <w:r>
        <w:rPr>
          <w:rFonts w:hint="eastAsia" w:ascii="宋体" w:hAnsi="宋体" w:eastAsia="宋体" w:cs="宋体"/>
          <w:kern w:val="2"/>
          <w:sz w:val="28"/>
          <w:szCs w:val="28"/>
          <w:highlight w:val="none"/>
          <w:u w:val="single"/>
          <w:lang w:val="en-US" w:eastAsia="zh-CN" w:bidi="ar-SA"/>
        </w:rPr>
        <w:t>18861558989</w:t>
      </w:r>
    </w:p>
    <w:p w14:paraId="40345668">
      <w:pPr>
        <w:widowControl w:val="0"/>
        <w:autoSpaceDN w:val="0"/>
        <w:spacing w:line="580" w:lineRule="exact"/>
        <w:jc w:val="left"/>
        <w:rPr>
          <w:rFonts w:hint="eastAsia" w:ascii="宋体" w:hAnsi="宋体" w:eastAsia="宋体" w:cs="宋体"/>
          <w:kern w:val="2"/>
          <w:sz w:val="28"/>
          <w:szCs w:val="28"/>
          <w:highlight w:val="none"/>
          <w:u w:val="single"/>
          <w:lang w:val="en-US" w:eastAsia="zh-CN" w:bidi="ar-SA"/>
        </w:rPr>
      </w:pPr>
    </w:p>
    <w:p w14:paraId="43149254">
      <w:pPr>
        <w:widowControl w:val="0"/>
        <w:autoSpaceDN w:val="0"/>
        <w:spacing w:line="580" w:lineRule="exact"/>
        <w:jc w:val="left"/>
        <w:rPr>
          <w:rFonts w:hint="default" w:ascii="宋体" w:hAnsi="宋体" w:eastAsia="宋体" w:cs="宋体"/>
          <w:kern w:val="2"/>
          <w:sz w:val="28"/>
          <w:szCs w:val="28"/>
          <w:highlight w:val="none"/>
          <w:u w:val="single"/>
          <w:lang w:val="en-US" w:eastAsia="zh-CN" w:bidi="ar-SA"/>
        </w:rPr>
      </w:pPr>
    </w:p>
    <w:p w14:paraId="531D78F5">
      <w:pPr>
        <w:jc w:val="right"/>
        <w:rPr>
          <w:highlight w:val="none"/>
        </w:rPr>
      </w:pPr>
      <w:r>
        <w:rPr>
          <w:rFonts w:hint="eastAsia" w:ascii="宋体" w:hAnsi="宋体" w:eastAsia="宋体" w:cs="宋体"/>
          <w:sz w:val="28"/>
          <w:szCs w:val="28"/>
          <w:highlight w:val="none"/>
          <w:u w:val="single"/>
        </w:rPr>
        <w:t>202</w:t>
      </w:r>
      <w:r>
        <w:rPr>
          <w:rFonts w:hint="eastAsia" w:ascii="宋体" w:hAnsi="宋体" w:eastAsia="宋体" w:cs="宋体"/>
          <w:sz w:val="28"/>
          <w:szCs w:val="28"/>
          <w:highlight w:val="none"/>
          <w:u w:val="singl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lang w:val="en-US" w:eastAsia="zh-CN"/>
        </w:rPr>
        <w:t>8</w:t>
      </w:r>
      <w:r>
        <w:rPr>
          <w:rFonts w:hint="eastAsia" w:ascii="宋体" w:hAnsi="宋体" w:eastAsia="宋体" w:cs="宋体"/>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98E76"/>
    <w:multiLevelType w:val="singleLevel"/>
    <w:tmpl w:val="AF198E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F2B3E"/>
    <w:rsid w:val="2E8D2118"/>
    <w:rsid w:val="596D5363"/>
    <w:rsid w:val="7A82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3297</Words>
  <Characters>3541</Characters>
  <Lines>0</Lines>
  <Paragraphs>0</Paragraphs>
  <TotalTime>0</TotalTime>
  <ScaleCrop>false</ScaleCrop>
  <LinksUpToDate>false</LinksUpToDate>
  <CharactersWithSpaces>3578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2025-02-06T05:02:00Z</dcterms:created>
  <dc:creator>jshcg</dc:creator>
  <cp:lastModifiedBy>刘祥</cp:lastModifiedBy>
  <dcterms:modified xsi:type="dcterms:W3CDTF">2025-02-08T05:10:53Z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eyJoZGlkIjoiMWM4MmVkOTA1MjFjYzMwZWNmZGFhODliZDBjZWU4YWMiLCJ1c2VySWQiOiIyODk0MTc0MTIifQ==</vt:lpwstr>
  </property>
  <property fmtid="{D5CDD505-2E9C-101B-9397-08002B2CF9AE}" pid="4" name="ICV">
    <vt:lpwstr>8AC09EF5BE664172A192D2C4464465CA_12</vt:lpwstr>
  </property>
</Properties>
</file>