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50540561">
      <w:pPr>
        <w:jc w:val="center"/>
        <w:rPr>
          <w:rFonts w:hint="eastAsia" w:ascii="宋体" w:hAnsi="宋体" w:eastAsia="宋体"/>
          <w:b/>
          <w:bCs/>
          <w:color w:val="auto"/>
          <w:sz w:val="32"/>
          <w:szCs w:val="32"/>
          <w:highlight w:val="none"/>
          <w:lang w:eastAsia="zh-CN"/>
        </w:rPr>
      </w:pPr>
      <w:r>
        <w:rPr>
          <w:rFonts w:hint="eastAsia" w:ascii="宋体" w:hAnsi="宋体"/>
          <w:b/>
          <w:bCs/>
          <w:color w:val="auto"/>
          <w:sz w:val="52"/>
          <w:szCs w:val="32"/>
          <w:highlight w:val="none"/>
          <w:lang w:eastAsia="zh-CN"/>
        </w:rPr>
        <w:t>宜兴市环科园喷涂“绿岛”项目深度调研服务</w:t>
      </w:r>
    </w:p>
    <w:p w14:paraId="1CD0EBE2">
      <w:pPr>
        <w:rPr>
          <w:rFonts w:hint="eastAsia" w:ascii="黑体" w:hAnsi="黑体" w:eastAsia="黑体"/>
          <w:b/>
          <w:bCs/>
          <w:color w:val="auto"/>
          <w:sz w:val="96"/>
          <w:szCs w:val="96"/>
          <w:highlight w:val="none"/>
        </w:rPr>
      </w:pPr>
    </w:p>
    <w:p w14:paraId="538AF57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0BAA7735">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0DCF009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A8D28C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97982F9">
      <w:pPr>
        <w:rPr>
          <w:rFonts w:hint="eastAsia" w:ascii="宋体" w:hAnsi="宋体"/>
          <w:b/>
          <w:bCs/>
          <w:color w:val="auto"/>
          <w:sz w:val="28"/>
          <w:szCs w:val="28"/>
          <w:highlight w:val="none"/>
        </w:rPr>
      </w:pPr>
    </w:p>
    <w:p w14:paraId="16AB0D35">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：YXGYJT202412029</w:t>
      </w:r>
    </w:p>
    <w:p w14:paraId="11EFD712">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宜兴市环保集团有限公司</w:t>
      </w:r>
    </w:p>
    <w:p w14:paraId="060C3EC0">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宜兴市环科园喷涂“绿岛”项目深度调研服务</w:t>
      </w:r>
    </w:p>
    <w:p w14:paraId="6648D74F">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787DFDE8">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0</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一</w:t>
      </w:r>
      <w:r>
        <w:rPr>
          <w:rFonts w:hint="eastAsia" w:ascii="宋体" w:hAnsi="宋体"/>
          <w:color w:val="auto"/>
          <w:sz w:val="32"/>
          <w:highlight w:val="none"/>
        </w:rPr>
        <w:t>月</w:t>
      </w:r>
    </w:p>
    <w:p w14:paraId="1F9D6A60">
      <w:pPr>
        <w:rPr>
          <w:rStyle w:val="36"/>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2434E8A8">
      <w:pPr>
        <w:jc w:val="center"/>
        <w:rPr>
          <w:rStyle w:val="36"/>
          <w:rFonts w:eastAsia="黑体"/>
          <w:bCs/>
          <w:color w:val="auto"/>
          <w:sz w:val="48"/>
          <w:highlight w:val="none"/>
        </w:rPr>
      </w:pPr>
      <w:r>
        <w:rPr>
          <w:rStyle w:val="36"/>
          <w:rFonts w:hint="eastAsia" w:eastAsia="黑体"/>
          <w:bCs/>
          <w:color w:val="auto"/>
          <w:sz w:val="48"/>
          <w:highlight w:val="none"/>
        </w:rPr>
        <w:t>目     录</w:t>
      </w:r>
    </w:p>
    <w:p w14:paraId="55137CE4">
      <w:pPr>
        <w:jc w:val="center"/>
        <w:rPr>
          <w:rFonts w:ascii="黑体" w:eastAsia="黑体"/>
          <w:bCs/>
          <w:color w:val="auto"/>
          <w:sz w:val="30"/>
          <w:highlight w:val="none"/>
        </w:rPr>
      </w:pPr>
    </w:p>
    <w:p w14:paraId="5A0D6F33">
      <w:pPr>
        <w:jc w:val="center"/>
        <w:rPr>
          <w:rFonts w:ascii="黑体" w:eastAsia="黑体"/>
          <w:bCs/>
          <w:color w:val="auto"/>
          <w:sz w:val="30"/>
          <w:highlight w:val="none"/>
        </w:rPr>
      </w:pPr>
    </w:p>
    <w:p w14:paraId="5858A2A3">
      <w:pPr>
        <w:pStyle w:val="22"/>
        <w:numPr>
          <w:ilvl w:val="0"/>
          <w:numId w:val="1"/>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投标邀请函</w:t>
      </w:r>
    </w:p>
    <w:p w14:paraId="0F1FC69D">
      <w:pPr>
        <w:pStyle w:val="22"/>
        <w:numPr>
          <w:ilvl w:val="0"/>
          <w:numId w:val="0"/>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p>
    <w:p w14:paraId="36113C65">
      <w:pPr>
        <w:pStyle w:val="22"/>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p>
    <w:p w14:paraId="3778F93A">
      <w:pPr>
        <w:pStyle w:val="22"/>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p>
    <w:p w14:paraId="7C632074">
      <w:pPr>
        <w:pStyle w:val="22"/>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p>
    <w:p w14:paraId="072DF4B0">
      <w:pPr>
        <w:pStyle w:val="22"/>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5C2FACA6">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08CEE976">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725CB0A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宜兴市环科园喷涂“绿岛”项目深度调研服务</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5CAE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733" w:type="dxa"/>
            <w:noWrap w:val="0"/>
            <w:vAlign w:val="top"/>
          </w:tcPr>
          <w:p w14:paraId="7C8FEDC6">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14:paraId="368D835A">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DFF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733" w:type="dxa"/>
            <w:noWrap w:val="0"/>
            <w:vAlign w:val="center"/>
          </w:tcPr>
          <w:p w14:paraId="15384AD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4F74CA41">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宜兴市环保集团有限公司</w:t>
            </w:r>
          </w:p>
          <w:p w14:paraId="5EA2DB7B">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：YXGYJT202412029</w:t>
            </w:r>
            <w:r>
              <w:rPr>
                <w:rFonts w:hint="eastAsia" w:ascii="宋体" w:hAnsi="宋体"/>
                <w:bCs/>
                <w:color w:val="auto"/>
                <w:sz w:val="24"/>
                <w:szCs w:val="24"/>
                <w:highlight w:val="none"/>
              </w:rPr>
              <w:t xml:space="preserve">                              </w:t>
            </w:r>
          </w:p>
          <w:p w14:paraId="001DAD6F">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采购代理机构：江苏鸿成工程项目管理有限公司            </w:t>
            </w:r>
          </w:p>
          <w:p w14:paraId="5D823B16">
            <w:pPr>
              <w:spacing w:line="360" w:lineRule="exact"/>
              <w:rPr>
                <w:rFonts w:hint="eastAsia" w:ascii="宋体" w:hAnsi="宋体" w:eastAsia="宋体" w:cs="Times New Roman"/>
                <w:bCs/>
                <w:color w:val="auto"/>
                <w:sz w:val="24"/>
                <w:szCs w:val="24"/>
                <w:highlight w:val="none"/>
              </w:rPr>
            </w:pPr>
            <w:r>
              <w:rPr>
                <w:rFonts w:hint="eastAsia" w:ascii="宋体" w:hAnsi="宋体"/>
                <w:bCs/>
                <w:color w:val="auto"/>
                <w:sz w:val="24"/>
                <w:szCs w:val="24"/>
                <w:highlight w:val="none"/>
              </w:rPr>
              <w:t>项目</w:t>
            </w:r>
            <w:r>
              <w:rPr>
                <w:rFonts w:hint="eastAsia" w:ascii="宋体" w:hAnsi="宋体" w:eastAsia="宋体" w:cs="Times New Roman"/>
                <w:bCs/>
                <w:color w:val="auto"/>
                <w:sz w:val="24"/>
                <w:szCs w:val="24"/>
                <w:highlight w:val="none"/>
              </w:rPr>
              <w:t>名称：</w:t>
            </w:r>
            <w:r>
              <w:rPr>
                <w:rFonts w:hint="eastAsia" w:ascii="宋体" w:hAnsi="宋体" w:eastAsia="宋体" w:cs="Times New Roman"/>
                <w:bCs/>
                <w:color w:val="auto"/>
                <w:sz w:val="24"/>
                <w:szCs w:val="24"/>
                <w:highlight w:val="none"/>
                <w:lang w:eastAsia="zh-CN"/>
              </w:rPr>
              <w:t>宜兴市环科园喷涂“绿岛”项目深度调研服务</w:t>
            </w:r>
            <w:r>
              <w:rPr>
                <w:rFonts w:hint="eastAsia" w:ascii="宋体" w:hAnsi="宋体" w:eastAsia="宋体" w:cs="Times New Roman"/>
                <w:bCs/>
                <w:color w:val="auto"/>
                <w:sz w:val="24"/>
                <w:szCs w:val="24"/>
                <w:highlight w:val="none"/>
              </w:rPr>
              <w:t xml:space="preserve">                              </w:t>
            </w:r>
          </w:p>
          <w:p w14:paraId="5E2DDFFD">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采购方式：集团网站公开招标（代理）                                    </w:t>
            </w:r>
          </w:p>
          <w:p w14:paraId="31B059C8">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评标方法：综合评分法</w:t>
            </w:r>
            <w:bookmarkEnd w:id="4"/>
          </w:p>
          <w:p w14:paraId="54C610DC">
            <w:pPr>
              <w:spacing w:line="360" w:lineRule="exact"/>
              <w:rPr>
                <w:rFonts w:hint="eastAsia"/>
                <w:lang w:eastAsia="zh-CN"/>
              </w:rPr>
            </w:pPr>
            <w:r>
              <w:rPr>
                <w:rFonts w:hint="eastAsia" w:ascii="宋体" w:hAnsi="宋体" w:eastAsia="宋体" w:cs="Times New Roman"/>
                <w:bCs/>
                <w:color w:val="auto"/>
                <w:sz w:val="24"/>
                <w:szCs w:val="24"/>
                <w:highlight w:val="none"/>
                <w:lang w:val="en-US" w:eastAsia="zh-CN"/>
              </w:rPr>
              <w:t>本项目预算价及最高限价为：</w:t>
            </w:r>
            <w:r>
              <w:rPr>
                <w:rFonts w:hint="eastAsia" w:ascii="宋体" w:hAnsi="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万元</w:t>
            </w:r>
          </w:p>
        </w:tc>
      </w:tr>
      <w:tr w14:paraId="5923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14CBFE20">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3E74843">
            <w:pPr>
              <w:pStyle w:val="45"/>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5F7DE22D">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2.1投标人参加本次采购活动应具备下列资格条件：</w:t>
            </w:r>
          </w:p>
          <w:p w14:paraId="30CCF631">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53BC3DDD">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41696E03">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1CD7634A">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④具有良好的商业信誉和健全的财务会计制度；</w:t>
            </w:r>
          </w:p>
          <w:p w14:paraId="38C87292">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⑤不接受联合体，不接受中标后分包；</w:t>
            </w:r>
          </w:p>
          <w:p w14:paraId="2EA0962D">
            <w:pPr>
              <w:pStyle w:val="45"/>
              <w:spacing w:line="276" w:lineRule="auto"/>
              <w:rPr>
                <w:rFonts w:hint="eastAsia" w:ascii="宋体"/>
                <w:color w:val="auto"/>
                <w:kern w:val="0"/>
                <w:sz w:val="24"/>
                <w:highlight w:val="none"/>
                <w:u w:val="none" w:color="000000"/>
                <w:lang w:val="zh-CN"/>
              </w:rPr>
            </w:pPr>
            <w:r>
              <w:rPr>
                <w:rFonts w:hint="eastAsia" w:ascii="宋体" w:hAnsi="Times New Roman" w:eastAsia="宋体" w:cs="Times New Roman"/>
                <w:color w:val="auto"/>
                <w:highlight w:val="none"/>
                <w:lang w:val="zh-CN"/>
              </w:rPr>
              <w:t>⑥良好的信用记录：投标截止时间之前，未被“信用中国”网站列入失信执行人、税收违法黑名单、政府采购严重违法失信行为记录名单，未被“中国政府采购网”网站列入政府采购严重违法失信行为记录名单；</w:t>
            </w:r>
          </w:p>
        </w:tc>
      </w:tr>
      <w:tr w14:paraId="5F8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1C23FFA6">
            <w:pPr>
              <w:snapToGrid w:val="0"/>
              <w:spacing w:line="400" w:lineRule="exact"/>
              <w:rPr>
                <w:color w:val="auto"/>
                <w:highlight w:val="none"/>
              </w:rPr>
            </w:pPr>
          </w:p>
        </w:tc>
        <w:tc>
          <w:tcPr>
            <w:tcW w:w="516" w:type="dxa"/>
            <w:vMerge w:val="continue"/>
            <w:noWrap w:val="0"/>
            <w:vAlign w:val="top"/>
          </w:tcPr>
          <w:p w14:paraId="6F71A7CC">
            <w:pPr>
              <w:snapToGrid w:val="0"/>
              <w:spacing w:line="400" w:lineRule="exact"/>
              <w:rPr>
                <w:color w:val="auto"/>
                <w:highlight w:val="none"/>
              </w:rPr>
            </w:pPr>
          </w:p>
        </w:tc>
        <w:tc>
          <w:tcPr>
            <w:tcW w:w="7682" w:type="dxa"/>
            <w:gridSpan w:val="3"/>
            <w:noWrap w:val="0"/>
            <w:vAlign w:val="top"/>
          </w:tcPr>
          <w:p w14:paraId="4FF50BE7">
            <w:pPr>
              <w:pStyle w:val="45"/>
              <w:ind w:left="240" w:hanging="240" w:hangingChars="100"/>
              <w:rPr>
                <w:rFonts w:hint="eastAsia" w:hAnsi="宋体" w:cs="宋体"/>
                <w:bCs/>
                <w:color w:val="auto"/>
                <w:kern w:val="2"/>
                <w:szCs w:val="24"/>
                <w:highlight w:val="none"/>
              </w:rPr>
            </w:pPr>
            <w:r>
              <w:rPr>
                <w:rFonts w:hint="eastAsia"/>
                <w:color w:val="auto"/>
                <w:highlight w:val="none"/>
              </w:rPr>
              <w:t>2.2</w:t>
            </w:r>
            <w:r>
              <w:rPr>
                <w:rFonts w:hint="eastAsia"/>
                <w:color w:val="auto"/>
                <w:highlight w:val="none"/>
                <w:lang w:val="zh-CN"/>
              </w:rPr>
              <w:t>投标保证金：</w:t>
            </w:r>
            <w:r>
              <w:rPr>
                <w:rFonts w:hint="eastAsia" w:hAnsi="宋体" w:cs="宋体"/>
                <w:color w:val="auto"/>
                <w:szCs w:val="24"/>
                <w:highlight w:val="none"/>
              </w:rPr>
              <w:t>采购人根据项目的实际情况，要求投标人在202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w:t>
            </w:r>
            <w:r>
              <w:rPr>
                <w:rFonts w:hint="eastAsia" w:hAnsi="宋体" w:cs="宋体"/>
                <w:color w:val="auto"/>
                <w:szCs w:val="24"/>
                <w:highlight w:val="none"/>
              </w:rPr>
              <w:t>月</w:t>
            </w:r>
            <w:r>
              <w:rPr>
                <w:rFonts w:hint="eastAsia" w:hAnsi="宋体" w:cs="宋体"/>
                <w:color w:val="auto"/>
                <w:szCs w:val="24"/>
                <w:highlight w:val="none"/>
                <w:lang w:val="en-US" w:eastAsia="zh-CN"/>
              </w:rPr>
              <w:t>10</w:t>
            </w:r>
            <w:r>
              <w:rPr>
                <w:rFonts w:hint="eastAsia" w:hAnsi="宋体" w:cs="宋体"/>
                <w:color w:val="auto"/>
                <w:szCs w:val="24"/>
                <w:highlight w:val="none"/>
              </w:rPr>
              <w:t>日17</w:t>
            </w:r>
            <w:r>
              <w:rPr>
                <w:rFonts w:hint="eastAsia" w:hAnsi="宋体" w:cs="宋体"/>
                <w:color w:val="auto"/>
                <w:szCs w:val="24"/>
                <w:highlight w:val="none"/>
                <w:lang w:eastAsia="zh-CN"/>
              </w:rPr>
              <w:t>：</w:t>
            </w:r>
            <w:r>
              <w:rPr>
                <w:rFonts w:hint="eastAsia" w:hAnsi="宋体" w:cs="宋体"/>
                <w:color w:val="auto"/>
                <w:szCs w:val="24"/>
                <w:highlight w:val="none"/>
              </w:rPr>
              <w:t>00至202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w:t>
            </w:r>
            <w:r>
              <w:rPr>
                <w:rFonts w:hint="eastAsia" w:hAnsi="宋体" w:cs="宋体"/>
                <w:color w:val="auto"/>
                <w:szCs w:val="24"/>
                <w:highlight w:val="none"/>
              </w:rPr>
              <w:t>月</w:t>
            </w:r>
            <w:r>
              <w:rPr>
                <w:rFonts w:hint="eastAsia" w:hAnsi="宋体" w:cs="宋体"/>
                <w:color w:val="auto"/>
                <w:szCs w:val="24"/>
                <w:highlight w:val="none"/>
                <w:lang w:val="en-US" w:eastAsia="zh-CN"/>
              </w:rPr>
              <w:t>17</w:t>
            </w:r>
            <w:r>
              <w:rPr>
                <w:rFonts w:hint="eastAsia" w:hAnsi="宋体" w:cs="宋体"/>
                <w:color w:val="auto"/>
                <w:szCs w:val="24"/>
                <w:highlight w:val="none"/>
              </w:rPr>
              <w:t>日1</w:t>
            </w:r>
            <w:r>
              <w:rPr>
                <w:rFonts w:hint="eastAsia" w:hAnsi="宋体" w:cs="宋体"/>
                <w:color w:val="auto"/>
                <w:szCs w:val="24"/>
                <w:highlight w:val="none"/>
                <w:lang w:val="en-US" w:eastAsia="zh-CN"/>
              </w:rPr>
              <w:t>3</w:t>
            </w:r>
            <w:r>
              <w:rPr>
                <w:rFonts w:hint="eastAsia" w:hAnsi="宋体" w:cs="宋体"/>
                <w:color w:val="auto"/>
                <w:szCs w:val="24"/>
                <w:highlight w:val="none"/>
                <w:lang w:eastAsia="zh-CN"/>
              </w:rPr>
              <w:t>：</w:t>
            </w:r>
            <w:r>
              <w:rPr>
                <w:rFonts w:hint="eastAsia" w:hAnsi="宋体" w:cs="宋体"/>
                <w:color w:val="auto"/>
                <w:szCs w:val="24"/>
                <w:highlight w:val="none"/>
                <w:lang w:val="en-US" w:eastAsia="zh-CN"/>
              </w:rPr>
              <w:t>50</w:t>
            </w:r>
            <w:r>
              <w:rPr>
                <w:rFonts w:hint="eastAsia" w:hAnsi="宋体" w:cs="宋体"/>
                <w:color w:val="auto"/>
                <w:szCs w:val="24"/>
                <w:highlight w:val="none"/>
              </w:rPr>
              <w:t>前须交纳投标保证金</w:t>
            </w:r>
            <w:r>
              <w:rPr>
                <w:rFonts w:hint="eastAsia" w:hAnsi="宋体" w:cs="宋体"/>
                <w:color w:val="auto"/>
                <w:szCs w:val="24"/>
                <w:highlight w:val="none"/>
                <w:u w:val="single" w:color="auto"/>
                <w:lang w:val="en-US" w:eastAsia="zh-CN"/>
              </w:rPr>
              <w:t>伍仟</w:t>
            </w:r>
            <w:r>
              <w:rPr>
                <w:rFonts w:hint="eastAsia" w:hAnsi="宋体" w:cs="宋体"/>
                <w:color w:val="auto"/>
                <w:szCs w:val="24"/>
                <w:highlight w:val="none"/>
                <w:u w:val="single" w:color="auto"/>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32"/>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14:paraId="59E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20" w:type="dxa"/>
                  <w:noWrap w:val="0"/>
                  <w:vAlign w:val="center"/>
                </w:tcPr>
                <w:p w14:paraId="66EED83D">
                  <w:pPr>
                    <w:jc w:val="center"/>
                    <w:rPr>
                      <w:rFonts w:hAnsi="宋体"/>
                      <w:bCs/>
                      <w:color w:val="auto"/>
                      <w:szCs w:val="21"/>
                      <w:highlight w:val="none"/>
                      <w:lang w:val="zh-CN"/>
                    </w:rPr>
                  </w:pPr>
                  <w:bookmarkStart w:id="254" w:name="_GoBack"/>
                  <w:r>
                    <w:rPr>
                      <w:rFonts w:hint="eastAsia"/>
                      <w:color w:val="auto"/>
                      <w:szCs w:val="21"/>
                      <w:highlight w:val="none"/>
                    </w:rPr>
                    <w:t>交纳投标保证金账户名称</w:t>
                  </w:r>
                </w:p>
              </w:tc>
              <w:tc>
                <w:tcPr>
                  <w:tcW w:w="2794" w:type="dxa"/>
                  <w:noWrap w:val="0"/>
                  <w:vAlign w:val="center"/>
                </w:tcPr>
                <w:p w14:paraId="49F467C7">
                  <w:pPr>
                    <w:jc w:val="center"/>
                    <w:rPr>
                      <w:rFonts w:hint="eastAsia" w:hAnsi="宋体"/>
                      <w:bCs/>
                      <w:color w:val="auto"/>
                      <w:szCs w:val="21"/>
                      <w:highlight w:val="none"/>
                      <w:lang w:val="zh-CN"/>
                    </w:rPr>
                  </w:pPr>
                  <w:r>
                    <w:rPr>
                      <w:rFonts w:hint="eastAsia"/>
                      <w:color w:val="auto"/>
                      <w:sz w:val="22"/>
                      <w:szCs w:val="18"/>
                      <w:highlight w:val="none"/>
                    </w:rPr>
                    <w:t>宜兴市公用环保集团有限公司</w:t>
                  </w:r>
                </w:p>
              </w:tc>
              <w:tc>
                <w:tcPr>
                  <w:tcW w:w="903" w:type="dxa"/>
                  <w:vMerge w:val="restart"/>
                  <w:noWrap w:val="0"/>
                  <w:vAlign w:val="center"/>
                </w:tcPr>
                <w:p w14:paraId="635E3FBC">
                  <w:pPr>
                    <w:jc w:val="center"/>
                    <w:rPr>
                      <w:rFonts w:hAnsi="宋体"/>
                      <w:bCs/>
                      <w:color w:val="auto"/>
                      <w:szCs w:val="21"/>
                      <w:highlight w:val="none"/>
                      <w:lang w:val="zh-CN"/>
                    </w:rPr>
                  </w:pPr>
                  <w:r>
                    <w:rPr>
                      <w:rFonts w:hint="eastAsia" w:hAnsi="宋体"/>
                      <w:bCs/>
                      <w:color w:val="auto"/>
                      <w:szCs w:val="21"/>
                      <w:highlight w:val="none"/>
                      <w:lang w:val="zh-CN"/>
                    </w:rPr>
                    <w:t>交纳</w:t>
                  </w:r>
                </w:p>
                <w:p w14:paraId="250568A8">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221" w:type="dxa"/>
                  <w:vMerge w:val="restart"/>
                  <w:noWrap w:val="0"/>
                  <w:vAlign w:val="center"/>
                </w:tcPr>
                <w:p w14:paraId="0960D015">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14:paraId="5B2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14:paraId="3903C838">
                  <w:pPr>
                    <w:jc w:val="center"/>
                    <w:rPr>
                      <w:color w:val="auto"/>
                      <w:szCs w:val="21"/>
                      <w:highlight w:val="none"/>
                    </w:rPr>
                  </w:pPr>
                  <w:r>
                    <w:rPr>
                      <w:rFonts w:hint="eastAsia" w:hAnsi="宋体"/>
                      <w:bCs/>
                      <w:color w:val="auto"/>
                      <w:szCs w:val="21"/>
                      <w:highlight w:val="none"/>
                      <w:lang w:val="zh-CN"/>
                    </w:rPr>
                    <w:t>开户银行</w:t>
                  </w:r>
                </w:p>
              </w:tc>
              <w:tc>
                <w:tcPr>
                  <w:tcW w:w="2794" w:type="dxa"/>
                  <w:noWrap w:val="0"/>
                  <w:vAlign w:val="center"/>
                </w:tcPr>
                <w:p w14:paraId="33083EE9">
                  <w:pPr>
                    <w:jc w:val="center"/>
                    <w:rPr>
                      <w:rFonts w:ascii="宋体" w:hAnsi="宋体"/>
                      <w:bCs/>
                      <w:color w:val="auto"/>
                      <w:sz w:val="24"/>
                      <w:szCs w:val="21"/>
                      <w:highlight w:val="none"/>
                    </w:rPr>
                  </w:pPr>
                  <w:r>
                    <w:rPr>
                      <w:rFonts w:hint="eastAsia"/>
                      <w:color w:val="auto"/>
                      <w:highlight w:val="none"/>
                    </w:rPr>
                    <w:t>光大银行宜兴支行</w:t>
                  </w:r>
                </w:p>
              </w:tc>
              <w:tc>
                <w:tcPr>
                  <w:tcW w:w="903" w:type="dxa"/>
                  <w:vMerge w:val="continue"/>
                  <w:noWrap w:val="0"/>
                  <w:vAlign w:val="center"/>
                </w:tcPr>
                <w:p w14:paraId="158F0C94">
                  <w:pPr>
                    <w:jc w:val="center"/>
                    <w:rPr>
                      <w:rFonts w:hAnsi="宋体"/>
                      <w:bCs/>
                      <w:color w:val="auto"/>
                      <w:szCs w:val="21"/>
                      <w:highlight w:val="none"/>
                      <w:lang w:val="zh-CN"/>
                    </w:rPr>
                  </w:pPr>
                </w:p>
              </w:tc>
              <w:tc>
                <w:tcPr>
                  <w:tcW w:w="2221" w:type="dxa"/>
                  <w:vMerge w:val="continue"/>
                  <w:noWrap w:val="0"/>
                  <w:vAlign w:val="center"/>
                </w:tcPr>
                <w:p w14:paraId="461000C1">
                  <w:pPr>
                    <w:jc w:val="center"/>
                    <w:rPr>
                      <w:color w:val="auto"/>
                      <w:szCs w:val="21"/>
                      <w:highlight w:val="none"/>
                    </w:rPr>
                  </w:pPr>
                </w:p>
              </w:tc>
            </w:tr>
            <w:tr w14:paraId="03C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14:paraId="5FA16CE8">
                  <w:pPr>
                    <w:jc w:val="center"/>
                    <w:rPr>
                      <w:color w:val="auto"/>
                      <w:szCs w:val="21"/>
                      <w:highlight w:val="none"/>
                    </w:rPr>
                  </w:pPr>
                  <w:r>
                    <w:rPr>
                      <w:rFonts w:hint="eastAsia" w:hAnsi="宋体"/>
                      <w:bCs/>
                      <w:color w:val="auto"/>
                      <w:szCs w:val="21"/>
                      <w:highlight w:val="none"/>
                      <w:lang w:val="zh-CN"/>
                    </w:rPr>
                    <w:t>账号</w:t>
                  </w:r>
                </w:p>
              </w:tc>
              <w:tc>
                <w:tcPr>
                  <w:tcW w:w="2794" w:type="dxa"/>
                  <w:noWrap w:val="0"/>
                  <w:vAlign w:val="center"/>
                </w:tcPr>
                <w:p w14:paraId="4DA3458A">
                  <w:pPr>
                    <w:jc w:val="center"/>
                    <w:rPr>
                      <w:rFonts w:hint="default" w:ascii="宋体" w:hAnsi="宋体" w:eastAsia="宋体"/>
                      <w:bCs/>
                      <w:color w:val="auto"/>
                      <w:sz w:val="24"/>
                      <w:szCs w:val="21"/>
                      <w:highlight w:val="none"/>
                      <w:lang w:val="en-US" w:eastAsia="zh-CN"/>
                    </w:rPr>
                  </w:pPr>
                  <w:r>
                    <w:rPr>
                      <w:rFonts w:hint="eastAsia" w:ascii="宋体" w:hAnsi="宋体"/>
                      <w:bCs/>
                      <w:color w:val="auto"/>
                      <w:sz w:val="24"/>
                      <w:szCs w:val="21"/>
                      <w:highlight w:val="none"/>
                      <w:lang w:val="en-US" w:eastAsia="zh-CN"/>
                    </w:rPr>
                    <w:t>51610188000269352</w:t>
                  </w:r>
                </w:p>
              </w:tc>
              <w:tc>
                <w:tcPr>
                  <w:tcW w:w="903" w:type="dxa"/>
                  <w:vMerge w:val="continue"/>
                  <w:noWrap w:val="0"/>
                  <w:vAlign w:val="center"/>
                </w:tcPr>
                <w:p w14:paraId="11B78C5D">
                  <w:pPr>
                    <w:jc w:val="center"/>
                    <w:rPr>
                      <w:rFonts w:hAnsi="宋体"/>
                      <w:bCs/>
                      <w:color w:val="auto"/>
                      <w:szCs w:val="21"/>
                      <w:highlight w:val="none"/>
                      <w:lang w:val="zh-CN"/>
                    </w:rPr>
                  </w:pPr>
                </w:p>
              </w:tc>
              <w:tc>
                <w:tcPr>
                  <w:tcW w:w="2221" w:type="dxa"/>
                  <w:vMerge w:val="continue"/>
                  <w:noWrap w:val="0"/>
                  <w:vAlign w:val="center"/>
                </w:tcPr>
                <w:p w14:paraId="7F74E897">
                  <w:pPr>
                    <w:jc w:val="center"/>
                    <w:rPr>
                      <w:color w:val="auto"/>
                      <w:szCs w:val="21"/>
                      <w:highlight w:val="none"/>
                    </w:rPr>
                  </w:pPr>
                </w:p>
              </w:tc>
            </w:tr>
          </w:tbl>
          <w:p w14:paraId="2DC8F270">
            <w:pPr>
              <w:snapToGrid w:val="0"/>
              <w:spacing w:line="400" w:lineRule="exact"/>
              <w:rPr>
                <w:rFonts w:hint="eastAsia" w:ascii="宋体"/>
                <w:color w:val="auto"/>
                <w:kern w:val="0"/>
                <w:sz w:val="24"/>
                <w:highlight w:val="none"/>
                <w:u w:val="none" w:color="000000"/>
                <w:lang w:val="zh-CN"/>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lang w:val="zh-CN"/>
              </w:rPr>
              <w:t>：</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w:t>
            </w:r>
            <w:bookmarkEnd w:id="254"/>
            <w:r>
              <w:rPr>
                <w:rFonts w:hint="eastAsia" w:ascii="宋体" w:hAnsi="宋体"/>
                <w:b/>
                <w:bCs/>
                <w:color w:val="auto"/>
                <w:sz w:val="24"/>
                <w:szCs w:val="21"/>
                <w:highlight w:val="none"/>
              </w:rPr>
              <w:t>账户，账号随机，请投标单位仔细核对账号后缴纳投标保证金，合同签订后，无息退回。</w:t>
            </w:r>
          </w:p>
        </w:tc>
      </w:tr>
      <w:tr w14:paraId="440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108F3B88">
            <w:pPr>
              <w:snapToGrid w:val="0"/>
              <w:spacing w:line="400" w:lineRule="exact"/>
              <w:rPr>
                <w:color w:val="auto"/>
                <w:highlight w:val="none"/>
              </w:rPr>
            </w:pPr>
          </w:p>
        </w:tc>
        <w:tc>
          <w:tcPr>
            <w:tcW w:w="516" w:type="dxa"/>
            <w:vMerge w:val="continue"/>
            <w:noWrap w:val="0"/>
            <w:vAlign w:val="top"/>
          </w:tcPr>
          <w:p w14:paraId="4552CF31">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62A8A8BC">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2.3拒绝下述供应商参加本次采购活动：</w:t>
            </w:r>
          </w:p>
          <w:p w14:paraId="3EB41A0D">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w:t>
            </w:r>
            <w:r>
              <w:rPr>
                <w:rFonts w:hint="eastAsia" w:ascii="宋体"/>
                <w:color w:val="auto"/>
                <w:kern w:val="0"/>
                <w:sz w:val="24"/>
                <w:highlight w:val="none"/>
                <w:u w:val="none" w:color="000000"/>
              </w:rPr>
              <w:t>供应商单位</w:t>
            </w:r>
            <w:r>
              <w:rPr>
                <w:rFonts w:hint="eastAsia" w:ascii="宋体"/>
                <w:color w:val="auto"/>
                <w:kern w:val="0"/>
                <w:sz w:val="24"/>
                <w:highlight w:val="none"/>
                <w:u w:val="none" w:color="000000"/>
                <w:lang w:val="zh-CN"/>
              </w:rPr>
              <w:t>负责人为同一人或者存在直接控股、管理关系的不同供应商，不得参加同一合同项下的采购活动，否则相关投标将被认定为无效投标；</w:t>
            </w:r>
          </w:p>
          <w:p w14:paraId="1A67BA04">
            <w:pPr>
              <w:pStyle w:val="16"/>
              <w:ind w:left="0" w:leftChars="0"/>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②凡为采购项目提供整体设计、规范编制或者项目管理、监理、检测等服务的供应商，不得再参加本项目的采购活动，否则其投标将被认定为无效投标。</w:t>
            </w:r>
          </w:p>
        </w:tc>
      </w:tr>
      <w:bookmarkEnd w:id="5"/>
      <w:tr w14:paraId="3796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762DC1C3">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5E66939C">
            <w:pPr>
              <w:pStyle w:val="45"/>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2763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63BCAA45">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ECBF3CC">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50E9AB69">
            <w:pP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投标文件副本份数：4份（需装订后密封）</w:t>
            </w:r>
          </w:p>
          <w:p w14:paraId="5F6ABAB2">
            <w:pPr>
              <w:rPr>
                <w:color w:val="auto"/>
                <w:highlight w:val="none"/>
              </w:rPr>
            </w:pPr>
            <w:r>
              <w:rPr>
                <w:rFonts w:hint="eastAsia" w:ascii="宋体" w:hAnsi="宋体" w:eastAsia="宋体" w:cs="Times New Roman"/>
                <w:bCs/>
                <w:color w:val="auto"/>
                <w:sz w:val="24"/>
                <w:szCs w:val="24"/>
                <w:highlight w:val="none"/>
              </w:rPr>
              <w:t>资格审查原件：1份（不需密封）</w:t>
            </w:r>
          </w:p>
        </w:tc>
      </w:tr>
      <w:tr w14:paraId="5AD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3A316E4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14:paraId="696D8620">
            <w:pPr>
              <w:snapToGrid w:val="0"/>
              <w:spacing w:line="400" w:lineRule="exact"/>
              <w:rPr>
                <w:rFonts w:hint="default" w:ascii="宋体" w:hAnsi="宋体" w:eastAsia="宋体"/>
                <w:bCs/>
                <w:color w:val="auto"/>
                <w:sz w:val="24"/>
                <w:szCs w:val="24"/>
                <w:highlight w:val="yellow"/>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17</w:t>
            </w:r>
            <w:r>
              <w:rPr>
                <w:rFonts w:hint="eastAsia" w:ascii="宋体" w:hAnsi="宋体"/>
                <w:bCs/>
                <w:color w:val="auto"/>
                <w:sz w:val="24"/>
                <w:szCs w:val="24"/>
                <w:highlight w:val="none"/>
              </w:rPr>
              <w:t>日14:</w:t>
            </w:r>
            <w:r>
              <w:rPr>
                <w:rFonts w:hint="eastAsia" w:ascii="宋体" w:hAnsi="宋体"/>
                <w:bCs/>
                <w:color w:val="auto"/>
                <w:sz w:val="24"/>
                <w:szCs w:val="24"/>
                <w:highlight w:val="none"/>
                <w:lang w:val="en-US" w:eastAsia="zh-CN"/>
              </w:rPr>
              <w:t>00</w:t>
            </w:r>
          </w:p>
          <w:p w14:paraId="3BC58C71">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65935A64">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投标地点及开标地点：宜兴市公用环保集团有限公司二楼开标室</w:t>
            </w:r>
          </w:p>
        </w:tc>
      </w:tr>
      <w:tr w14:paraId="08C1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4F33789A">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12449C1">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376B9EA">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2A22CB43">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采购人：</w:t>
            </w:r>
            <w:r>
              <w:rPr>
                <w:rFonts w:hint="eastAsia" w:ascii="宋体" w:hAnsi="宋体" w:eastAsia="宋体" w:cs="Times New Roman"/>
                <w:color w:val="auto"/>
                <w:sz w:val="24"/>
                <w:szCs w:val="28"/>
                <w:highlight w:val="none"/>
                <w:lang w:eastAsia="zh-CN"/>
              </w:rPr>
              <w:t>宜兴市环保集团有限公司</w:t>
            </w:r>
          </w:p>
          <w:p w14:paraId="5B3C4FC4">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联系人：</w:t>
            </w:r>
            <w:r>
              <w:rPr>
                <w:rFonts w:hint="eastAsia" w:ascii="宋体" w:hAnsi="宋体" w:cs="Times New Roman"/>
                <w:color w:val="auto"/>
                <w:sz w:val="24"/>
                <w:szCs w:val="28"/>
                <w:highlight w:val="none"/>
                <w:lang w:val="en-US" w:eastAsia="zh-CN"/>
              </w:rPr>
              <w:t>韩</w:t>
            </w:r>
            <w:r>
              <w:rPr>
                <w:rFonts w:hint="eastAsia" w:ascii="宋体" w:hAnsi="宋体" w:eastAsia="宋体" w:cs="Times New Roman"/>
                <w:color w:val="auto"/>
                <w:sz w:val="24"/>
                <w:szCs w:val="28"/>
                <w:highlight w:val="none"/>
                <w:lang w:eastAsia="zh-CN"/>
              </w:rPr>
              <w:t>先生</w:t>
            </w:r>
          </w:p>
          <w:p w14:paraId="528DC5F9">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联系电话：0510-80710575</w:t>
            </w:r>
          </w:p>
          <w:p w14:paraId="6F36C5CD">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联系地址：中国宜兴环保科技工业园科技孵化园（无锡市）</w:t>
            </w:r>
          </w:p>
          <w:p w14:paraId="635D4AEF">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14:paraId="6EA1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56EB6A2B">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1B7FEBF4">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7BFDDCD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3E474945">
            <w:pPr>
              <w:jc w:val="left"/>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联系人：</w:t>
            </w:r>
            <w:r>
              <w:rPr>
                <w:rFonts w:hint="eastAsia" w:ascii="宋体" w:hAnsi="宋体" w:eastAsia="宋体" w:cs="Times New Roman"/>
                <w:color w:val="auto"/>
                <w:sz w:val="24"/>
                <w:szCs w:val="28"/>
                <w:highlight w:val="none"/>
                <w:lang w:val="en-US" w:eastAsia="zh-CN"/>
              </w:rPr>
              <w:t>袁先生，13306154212</w:t>
            </w:r>
          </w:p>
          <w:p w14:paraId="1124D26C">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联系地址：宜兴市杏园路108号科创商务中心5号楼</w:t>
            </w:r>
          </w:p>
          <w:p w14:paraId="0837B8C6">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14:paraId="51E7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61F68BF7">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042C9E04">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2BB3727">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51C0D182">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采购监督管理及投诉处理主体：</w:t>
            </w:r>
          </w:p>
          <w:p w14:paraId="00487C8B">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宜兴市公用环保集团有限公司</w:t>
            </w:r>
          </w:p>
          <w:p w14:paraId="68163BFA">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w:t>
            </w:r>
          </w:p>
          <w:p w14:paraId="327809BA">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联系电话：0510-80702109</w:t>
            </w:r>
          </w:p>
        </w:tc>
      </w:tr>
      <w:bookmarkEnd w:id="7"/>
    </w:tbl>
    <w:p w14:paraId="33C9ED44">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137DCEE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0BD25B4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1FCCEC8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261B07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649FBDC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692E9A7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是指投标人的公章或者合同使用章。</w:t>
      </w:r>
    </w:p>
    <w:p w14:paraId="519763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17D6611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356C312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23CD8E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42FD5955">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41F943EF">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2.4评审费收费标准</w:t>
      </w:r>
      <w:r>
        <w:rPr>
          <w:rFonts w:hint="eastAsia" w:ascii="宋体" w:hAnsi="宋体"/>
          <w:b/>
          <w:color w:val="auto"/>
          <w:sz w:val="24"/>
          <w:szCs w:val="24"/>
          <w:highlight w:val="none"/>
          <w:lang w:eastAsia="zh-CN"/>
        </w:rPr>
        <w:t>：</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57BB7BE4">
      <w:pPr>
        <w:spacing w:line="360" w:lineRule="auto"/>
        <w:ind w:firstLine="482" w:firstLineChars="20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2.5</w:t>
      </w:r>
      <w:r>
        <w:rPr>
          <w:rFonts w:ascii="宋体" w:hAnsi="宋体"/>
          <w:b/>
          <w:bCs/>
          <w:sz w:val="24"/>
          <w:szCs w:val="24"/>
          <w:highlight w:val="none"/>
        </w:rPr>
        <w:t>本项目采购代理费由</w:t>
      </w:r>
      <w:r>
        <w:rPr>
          <w:rFonts w:hint="eastAsia" w:ascii="宋体" w:hAnsi="宋体"/>
          <w:b/>
          <w:bCs/>
          <w:sz w:val="24"/>
          <w:szCs w:val="24"/>
          <w:highlight w:val="none"/>
        </w:rPr>
        <w:t>成交供应商</w:t>
      </w:r>
      <w:r>
        <w:rPr>
          <w:rFonts w:ascii="宋体" w:hAnsi="宋体"/>
          <w:b/>
          <w:bCs/>
          <w:sz w:val="24"/>
          <w:szCs w:val="24"/>
          <w:highlight w:val="none"/>
        </w:rPr>
        <w:t>支付，在</w:t>
      </w:r>
      <w:r>
        <w:rPr>
          <w:rFonts w:hint="eastAsia" w:ascii="宋体" w:hAnsi="宋体"/>
          <w:b/>
          <w:bCs/>
          <w:sz w:val="24"/>
          <w:szCs w:val="24"/>
          <w:highlight w:val="none"/>
        </w:rPr>
        <w:t>成交</w:t>
      </w:r>
      <w:r>
        <w:rPr>
          <w:rFonts w:ascii="宋体" w:hAnsi="宋体"/>
          <w:b/>
          <w:bCs/>
          <w:sz w:val="24"/>
          <w:szCs w:val="24"/>
          <w:highlight w:val="none"/>
        </w:rPr>
        <w:t>通知书发放后一次性付清。本次</w:t>
      </w:r>
      <w:r>
        <w:rPr>
          <w:rFonts w:hint="eastAsia" w:ascii="宋体" w:hAnsi="宋体"/>
          <w:b/>
          <w:bCs/>
          <w:sz w:val="24"/>
          <w:szCs w:val="24"/>
          <w:highlight w:val="none"/>
        </w:rPr>
        <w:t>采购</w:t>
      </w:r>
      <w:r>
        <w:rPr>
          <w:rFonts w:ascii="宋体" w:hAnsi="宋体"/>
          <w:b/>
          <w:bCs/>
          <w:sz w:val="24"/>
          <w:szCs w:val="24"/>
          <w:highlight w:val="none"/>
        </w:rPr>
        <w:t>代理费为人民币</w:t>
      </w:r>
      <w:r>
        <w:rPr>
          <w:rFonts w:hint="eastAsia" w:ascii="宋体" w:hAnsi="宋体"/>
          <w:b/>
          <w:bCs/>
          <w:sz w:val="24"/>
          <w:szCs w:val="24"/>
          <w:highlight w:val="none"/>
          <w:lang w:val="en-US" w:eastAsia="zh-CN"/>
        </w:rPr>
        <w:t>贰</w:t>
      </w:r>
      <w:r>
        <w:rPr>
          <w:rFonts w:hint="eastAsia" w:ascii="宋体" w:hAnsi="宋体"/>
          <w:b/>
          <w:bCs/>
          <w:sz w:val="24"/>
          <w:szCs w:val="24"/>
          <w:highlight w:val="none"/>
        </w:rPr>
        <w:t>仟</w:t>
      </w:r>
      <w:r>
        <w:rPr>
          <w:rFonts w:ascii="宋体" w:hAnsi="宋体"/>
          <w:b/>
          <w:bCs/>
          <w:sz w:val="24"/>
          <w:szCs w:val="24"/>
          <w:highlight w:val="none"/>
        </w:rPr>
        <w:t>整（¥</w:t>
      </w:r>
      <w:r>
        <w:rPr>
          <w:rFonts w:hint="eastAsia" w:ascii="宋体" w:hAnsi="宋体"/>
          <w:b/>
          <w:bCs/>
          <w:sz w:val="24"/>
          <w:szCs w:val="24"/>
          <w:highlight w:val="none"/>
          <w:lang w:val="en-US" w:eastAsia="zh-CN"/>
        </w:rPr>
        <w:t>2</w:t>
      </w:r>
      <w:r>
        <w:rPr>
          <w:rFonts w:hint="eastAsia" w:ascii="宋体" w:hAnsi="宋体"/>
          <w:b/>
          <w:bCs/>
          <w:sz w:val="24"/>
          <w:szCs w:val="24"/>
          <w:highlight w:val="none"/>
        </w:rPr>
        <w:t>000 .00</w:t>
      </w:r>
      <w:r>
        <w:rPr>
          <w:rFonts w:ascii="宋体" w:hAnsi="宋体"/>
          <w:b/>
          <w:bCs/>
          <w:sz w:val="24"/>
          <w:szCs w:val="24"/>
          <w:highlight w:val="none"/>
        </w:rPr>
        <w:t>），</w:t>
      </w:r>
      <w:r>
        <w:rPr>
          <w:rFonts w:hint="eastAsia" w:ascii="宋体" w:hAnsi="宋体"/>
          <w:b/>
          <w:bCs/>
          <w:sz w:val="24"/>
          <w:szCs w:val="24"/>
          <w:highlight w:val="none"/>
        </w:rPr>
        <w:t>供应商</w:t>
      </w:r>
      <w:r>
        <w:rPr>
          <w:rFonts w:ascii="宋体" w:hAnsi="宋体"/>
          <w:b/>
          <w:bCs/>
          <w:sz w:val="24"/>
          <w:szCs w:val="24"/>
          <w:highlight w:val="none"/>
        </w:rPr>
        <w:t>必须将该部分费用考虑在报价内。</w:t>
      </w:r>
    </w:p>
    <w:p w14:paraId="3DF30EE9">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24903E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4E745AB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2A2471B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044FABC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4.1投标人按招标公告要求获取招标文件及有关资料。投标人须按招标文件要求提交全部资料并对招标文件各项内容作出实质性响应，否则投标无效。</w:t>
      </w:r>
    </w:p>
    <w:p w14:paraId="159F0A9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7C1612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6A7AB88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0BD956E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289"/>
      <w:bookmarkStart w:id="10" w:name="OLE_LINK10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3819F26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3DE1CDEA">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1A963B6F">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35E520A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502C0FB2">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p>
    <w:p w14:paraId="4CAAA2FD">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s="Times New Roman"/>
          <w:color w:val="auto"/>
          <w:kern w:val="2"/>
          <w:sz w:val="24"/>
          <w:szCs w:val="21"/>
          <w:lang w:val="en-US" w:eastAsia="zh-CN" w:bidi="ar-SA"/>
        </w:rPr>
        <w:t>7.1</w:t>
      </w:r>
      <w:r>
        <w:rPr>
          <w:rFonts w:hint="eastAsia" w:ascii="宋体" w:hAnsi="宋体"/>
          <w:color w:val="auto"/>
          <w:sz w:val="24"/>
          <w:szCs w:val="21"/>
          <w:highlight w:val="none"/>
          <w:lang w:val="zh-CN"/>
        </w:rPr>
        <w:t>投标函</w:t>
      </w:r>
    </w:p>
    <w:p w14:paraId="1A11F111">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s="Times New Roman"/>
          <w:color w:val="auto"/>
          <w:kern w:val="2"/>
          <w:sz w:val="24"/>
          <w:szCs w:val="21"/>
          <w:lang w:val="en-US" w:eastAsia="zh-CN" w:bidi="ar-SA"/>
        </w:rPr>
        <w:t>7.2</w:t>
      </w:r>
      <w:r>
        <w:rPr>
          <w:rFonts w:hint="eastAsia" w:ascii="宋体" w:hAnsi="宋体"/>
          <w:color w:val="auto"/>
          <w:sz w:val="24"/>
          <w:szCs w:val="21"/>
          <w:highlight w:val="none"/>
          <w:lang w:val="zh-CN"/>
        </w:rPr>
        <w:t>报价文件：</w:t>
      </w:r>
    </w:p>
    <w:p w14:paraId="3EDFD13A">
      <w:pPr>
        <w:numPr>
          <w:ilvl w:val="0"/>
          <w:numId w:val="0"/>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7.2.1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3482AA33">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0" w:name="OLE_LINK20"/>
      <w:r>
        <w:rPr>
          <w:rFonts w:hint="eastAsia" w:ascii="宋体" w:hAnsi="宋体" w:cs="Times New Roman"/>
          <w:color w:val="auto"/>
          <w:kern w:val="2"/>
          <w:sz w:val="24"/>
          <w:szCs w:val="24"/>
          <w:lang w:val="en-US" w:eastAsia="zh-CN" w:bidi="ar-SA"/>
        </w:rPr>
        <w:t>7.3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229E0DE5">
      <w:pPr>
        <w:tabs>
          <w:tab w:val="left" w:pos="0"/>
          <w:tab w:val="left" w:pos="255"/>
        </w:tabs>
        <w:spacing w:line="360" w:lineRule="auto"/>
        <w:ind w:firstLine="626" w:firstLineChars="261"/>
        <w:rPr>
          <w:rFonts w:hint="eastAsia" w:ascii="宋体" w:hAnsi="宋体"/>
          <w:color w:val="auto"/>
          <w:sz w:val="24"/>
          <w:szCs w:val="24"/>
          <w:highlight w:val="none"/>
        </w:rPr>
      </w:pPr>
      <w:bookmarkStart w:id="21" w:name="OLE_LINK8"/>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44085D8">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07715B12">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1"/>
          <w:highlight w:val="none"/>
          <w:lang w:val="en-US" w:eastAsia="zh-CN"/>
        </w:rPr>
        <w:t xml:space="preserve"> </w:t>
      </w:r>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1EB1E23C">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7.3.4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0B4ECBBF">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7.3.5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51C5A222">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7.3.6 投标人依法缴纳近十二个月中任意一个月份社会保障资金的相关材料（提供相关主管部门证明或银行代扣证明）复印件；</w:t>
      </w:r>
    </w:p>
    <w:p w14:paraId="0FD81848">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7.3.7 投标人为本项目被授权代表在近六个月内任意一个月缴纳的社保证明复印件（提供相关主管部门证明或银行代扣证明，法定代表人亲自参加报价的除外）；</w:t>
      </w:r>
    </w:p>
    <w:p w14:paraId="30FBD656">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7.3.8无不良信用记录：未被“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14:paraId="1401296A">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7.3.9 </w:t>
      </w:r>
      <w:r>
        <w:rPr>
          <w:rFonts w:hint="eastAsia" w:ascii="宋体" w:hAnsi="宋体" w:eastAsia="宋体" w:cs="Times New Roman"/>
          <w:color w:val="auto"/>
          <w:sz w:val="24"/>
          <w:szCs w:val="24"/>
          <w:highlight w:val="none"/>
          <w:lang w:val="zh-CN" w:eastAsia="zh-CN"/>
        </w:rPr>
        <w:t>投标保证金交纳证明（银行转账）复印件；</w:t>
      </w:r>
    </w:p>
    <w:p w14:paraId="6996BC0D">
      <w:pPr>
        <w:numPr>
          <w:ilvl w:val="0"/>
          <w:numId w:val="0"/>
        </w:numPr>
        <w:tabs>
          <w:tab w:val="left" w:pos="0"/>
          <w:tab w:val="left" w:pos="255"/>
        </w:tabs>
        <w:spacing w:line="360" w:lineRule="auto"/>
        <w:ind w:firstLine="480" w:firstLineChars="200"/>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注：以上“近三个月”是指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日之前近三个月（不含报价当月）；以上“近十二个月”是指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日之前近十二个月（不含报价当月）。</w:t>
      </w:r>
    </w:p>
    <w:bookmarkEnd w:id="21"/>
    <w:p w14:paraId="289C0B25">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6" w:name="OLE_LINK7"/>
      <w:r>
        <w:rPr>
          <w:rFonts w:hint="eastAsia" w:ascii="宋体" w:hAnsi="宋体" w:cs="Times New Roman"/>
          <w:color w:val="auto"/>
          <w:kern w:val="2"/>
          <w:sz w:val="24"/>
          <w:szCs w:val="24"/>
          <w:lang w:val="en-US" w:eastAsia="zh-CN" w:bidi="ar-SA"/>
        </w:rPr>
        <w:t>7.4</w:t>
      </w:r>
      <w:r>
        <w:rPr>
          <w:rFonts w:hint="eastAsia" w:ascii="宋体" w:hAnsi="宋体" w:eastAsia="宋体" w:cs="宋体"/>
          <w:color w:val="auto"/>
          <w:kern w:val="2"/>
          <w:sz w:val="24"/>
          <w:szCs w:val="24"/>
          <w:highlight w:val="none"/>
          <w:lang w:val="en-US" w:eastAsia="zh-CN" w:bidi="ar-SA"/>
        </w:rPr>
        <w:t>技</w:t>
      </w:r>
      <w:r>
        <w:rPr>
          <w:rFonts w:hint="eastAsia" w:ascii="宋体" w:hAnsi="宋体"/>
          <w:color w:val="auto"/>
          <w:sz w:val="24"/>
          <w:szCs w:val="24"/>
          <w:highlight w:val="none"/>
        </w:rPr>
        <w:t>术商务部分评分导读表</w:t>
      </w:r>
      <w:bookmarkEnd w:id="26"/>
    </w:p>
    <w:p w14:paraId="3A609857">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s="Times New Roman"/>
          <w:color w:val="auto"/>
          <w:kern w:val="2"/>
          <w:sz w:val="24"/>
          <w:szCs w:val="24"/>
          <w:lang w:val="en-US" w:eastAsia="zh-CN" w:bidi="ar-SA"/>
        </w:rPr>
        <w:t>7.5</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 xml:space="preserve">第四章 </w:t>
      </w:r>
      <w:r>
        <w:rPr>
          <w:rFonts w:hint="eastAsia" w:ascii="宋体" w:hAnsi="宋体"/>
          <w:color w:val="auto"/>
          <w:sz w:val="24"/>
          <w:szCs w:val="21"/>
          <w:highlight w:val="none"/>
        </w:rPr>
        <w:t>评标方法和标准”中要求提供的相关文件、证明材料等</w:t>
      </w:r>
      <w:r>
        <w:rPr>
          <w:rFonts w:hint="eastAsia" w:ascii="宋体" w:hAnsi="宋体"/>
          <w:color w:val="auto"/>
          <w:sz w:val="24"/>
          <w:szCs w:val="24"/>
          <w:highlight w:val="none"/>
        </w:rPr>
        <w:t>（如有自行添加）</w:t>
      </w:r>
    </w:p>
    <w:p w14:paraId="1065E8FA">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s="Times New Roman"/>
          <w:color w:val="auto"/>
          <w:kern w:val="2"/>
          <w:sz w:val="24"/>
          <w:szCs w:val="24"/>
          <w:lang w:val="en-US" w:eastAsia="zh-CN" w:bidi="ar-SA"/>
        </w:rPr>
        <w:t>7.6</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38C73C3E">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s="Times New Roman"/>
          <w:color w:val="auto"/>
          <w:kern w:val="2"/>
          <w:sz w:val="24"/>
          <w:szCs w:val="24"/>
          <w:lang w:val="en-US" w:eastAsia="zh-CN" w:bidi="ar-SA"/>
        </w:rPr>
        <w:t>7.7</w:t>
      </w:r>
      <w:r>
        <w:rPr>
          <w:rFonts w:hint="eastAsia" w:ascii="宋体" w:hAnsi="宋体"/>
          <w:color w:val="auto"/>
          <w:sz w:val="24"/>
          <w:szCs w:val="24"/>
          <w:highlight w:val="none"/>
          <w:lang w:val="zh-CN"/>
        </w:rPr>
        <w:t>项目人员配置清单</w:t>
      </w:r>
    </w:p>
    <w:p w14:paraId="153E4524">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lang w:val="zh-CN"/>
        </w:rPr>
      </w:pPr>
      <w:bookmarkStart w:id="27" w:name="OLE_LINK116"/>
      <w:r>
        <w:rPr>
          <w:rFonts w:hint="eastAsia" w:ascii="宋体" w:hAnsi="宋体" w:cs="Times New Roman"/>
          <w:color w:val="auto"/>
          <w:kern w:val="2"/>
          <w:sz w:val="24"/>
          <w:szCs w:val="24"/>
          <w:lang w:val="en-US" w:eastAsia="zh-CN" w:bidi="ar-SA"/>
        </w:rPr>
        <w:t>7.8</w:t>
      </w:r>
      <w:r>
        <w:rPr>
          <w:rFonts w:hint="eastAsia" w:ascii="宋体" w:hAnsi="宋体"/>
          <w:color w:val="auto"/>
          <w:sz w:val="24"/>
          <w:szCs w:val="24"/>
          <w:highlight w:val="none"/>
          <w:lang w:val="zh-CN"/>
        </w:rPr>
        <w:t>要求采购人提供的配合（如有自拟并自行添加）</w:t>
      </w:r>
    </w:p>
    <w:p w14:paraId="4ECE4412">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s="Times New Roman"/>
          <w:color w:val="auto"/>
          <w:kern w:val="2"/>
          <w:sz w:val="24"/>
          <w:szCs w:val="24"/>
          <w:lang w:val="en-US" w:eastAsia="zh-CN" w:bidi="ar-SA"/>
        </w:rPr>
        <w:t>7.9</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5B51D9FB">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7.1-7.4</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lang w:val="en-US"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投标人法定代表人或授权代表为外籍、港、澳、台地区人士的，其身份证明须提供有效的护照或港澳同胞来往内地通行证、台湾同胞来往大陆通行证，或其他可在中国大陆有效居留的许可证明。</w:t>
      </w:r>
    </w:p>
    <w:p w14:paraId="562E5375">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19624"/>
      <w:bookmarkStart w:id="32" w:name="_Toc520356155"/>
      <w:bookmarkStart w:id="33" w:name="_Toc2248"/>
      <w:bookmarkStart w:id="34" w:name="_Toc23231"/>
      <w:bookmarkStart w:id="35" w:name="_Toc515647770"/>
      <w:r>
        <w:rPr>
          <w:rFonts w:hint="eastAsia" w:ascii="宋体" w:hAnsi="宋体"/>
          <w:b/>
          <w:color w:val="auto"/>
          <w:sz w:val="24"/>
          <w:szCs w:val="24"/>
          <w:highlight w:val="none"/>
        </w:rPr>
        <w:t>投标报价</w:t>
      </w:r>
      <w:bookmarkEnd w:id="31"/>
      <w:bookmarkEnd w:id="32"/>
      <w:bookmarkEnd w:id="33"/>
      <w:bookmarkEnd w:id="34"/>
      <w:bookmarkEnd w:id="35"/>
    </w:p>
    <w:bookmarkEnd w:id="30"/>
    <w:p w14:paraId="3697475C">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51133FE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409939BE">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每种服务及货物只能有一个投标报价。采购人不接受具有附加条件的报价。</w:t>
      </w:r>
    </w:p>
    <w:p w14:paraId="141CD39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0042C3C5">
      <w:pPr>
        <w:spacing w:line="360" w:lineRule="auto"/>
        <w:ind w:firstLine="480" w:firstLineChars="200"/>
        <w:rPr>
          <w:rFonts w:hint="eastAsia" w:ascii="宋体" w:hAnsi="宋体"/>
          <w:bCs/>
          <w:color w:val="auto"/>
          <w:sz w:val="24"/>
          <w:szCs w:val="24"/>
          <w:highlight w:val="none"/>
          <w:lang w:val="zh-CN"/>
        </w:rPr>
      </w:pPr>
      <w:bookmarkStart w:id="37" w:name="OLE_LINK94"/>
      <w:r>
        <w:rPr>
          <w:rFonts w:hint="eastAsia" w:ascii="宋体" w:hAnsi="宋体"/>
          <w:bCs/>
          <w:color w:val="auto"/>
          <w:sz w:val="24"/>
          <w:szCs w:val="24"/>
          <w:highlight w:val="none"/>
        </w:rPr>
        <w:t>9.1</w:t>
      </w:r>
      <w:bookmarkStart w:id="38" w:name="OLE_LINK203"/>
      <w:r>
        <w:rPr>
          <w:rFonts w:hint="eastAsia" w:ascii="宋体" w:hAnsi="宋体"/>
          <w:bCs/>
          <w:color w:val="auto"/>
          <w:sz w:val="24"/>
          <w:szCs w:val="24"/>
          <w:highlight w:val="none"/>
        </w:rPr>
        <w:t xml:space="preserve"> </w:t>
      </w:r>
      <w:bookmarkEnd w:id="38"/>
      <w:r>
        <w:rPr>
          <w:rFonts w:hint="eastAsia" w:ascii="宋体" w:hAnsi="宋体"/>
          <w:bCs/>
          <w:color w:val="auto"/>
          <w:sz w:val="24"/>
          <w:szCs w:val="24"/>
          <w:highlight w:val="none"/>
          <w:lang w:val="zh-CN"/>
        </w:rPr>
        <w:t>所有文件、往来函件均应使用简体中文（规格、型号辅助符号例外）。</w:t>
      </w:r>
    </w:p>
    <w:p w14:paraId="4A2031E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7D44E40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9"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0" w:name="OLE_LINK225"/>
      <w:r>
        <w:rPr>
          <w:rFonts w:hint="eastAsia" w:ascii="宋体" w:hAnsi="宋体"/>
          <w:bCs/>
          <w:color w:val="auto"/>
          <w:sz w:val="24"/>
          <w:szCs w:val="24"/>
          <w:highlight w:val="none"/>
        </w:rPr>
        <w:t>承诺实质性响应</w:t>
      </w:r>
      <w:bookmarkEnd w:id="40"/>
      <w:r>
        <w:rPr>
          <w:rFonts w:hint="eastAsia" w:ascii="宋体" w:hAnsi="宋体"/>
          <w:bCs/>
          <w:color w:val="auto"/>
          <w:sz w:val="24"/>
          <w:szCs w:val="24"/>
          <w:highlight w:val="none"/>
        </w:rPr>
        <w:t>招标文件的要求。</w:t>
      </w:r>
      <w:bookmarkEnd w:id="39"/>
    </w:p>
    <w:p w14:paraId="4F6C99A5">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1" w:name="OLE_LINK120"/>
      <w:bookmarkStart w:id="42"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1"/>
      <w:r>
        <w:rPr>
          <w:rFonts w:hint="eastAsia" w:ascii="宋体" w:hAnsi="宋体"/>
          <w:color w:val="auto"/>
          <w:sz w:val="24"/>
          <w:szCs w:val="28"/>
          <w:highlight w:val="none"/>
        </w:rPr>
        <w:t>并加盖投标人公章。</w:t>
      </w:r>
      <w:bookmarkEnd w:id="42"/>
    </w:p>
    <w:p w14:paraId="44B59552">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3" w:name="OLE_LINK122"/>
      <w:r>
        <w:rPr>
          <w:rFonts w:hint="eastAsia" w:ascii="宋体" w:hAnsi="宋体"/>
          <w:bCs/>
          <w:color w:val="auto"/>
          <w:sz w:val="24"/>
          <w:szCs w:val="24"/>
          <w:highlight w:val="none"/>
        </w:rPr>
        <w:t>注明“正本”、“副本”字样</w:t>
      </w:r>
      <w:bookmarkEnd w:id="43"/>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0C2F656D">
      <w:pPr>
        <w:pStyle w:val="49"/>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6935017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574064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4" w:name="OLE_LINK123"/>
      <w:r>
        <w:rPr>
          <w:rFonts w:hint="eastAsia" w:ascii="宋体" w:hAnsi="宋体"/>
          <w:bCs/>
          <w:color w:val="auto"/>
          <w:sz w:val="24"/>
          <w:szCs w:val="24"/>
          <w:highlight w:val="none"/>
        </w:rPr>
        <w:t>投标人须对投标文件进行密封，同时注明投标人名称。</w:t>
      </w:r>
      <w:bookmarkEnd w:id="44"/>
    </w:p>
    <w:p w14:paraId="1C4DA4D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3FC4856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474EE6A">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5" w:name="OLE_LINK45"/>
      <w:r>
        <w:rPr>
          <w:rFonts w:hint="eastAsia" w:ascii="宋体" w:hAnsi="宋体"/>
          <w:color w:val="auto"/>
          <w:sz w:val="24"/>
          <w:szCs w:val="28"/>
          <w:highlight w:val="none"/>
        </w:rPr>
        <w:t>采购人、</w:t>
      </w:r>
      <w:bookmarkEnd w:id="45"/>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w:t>
      </w:r>
      <w:r>
        <w:rPr>
          <w:rFonts w:hint="eastAsia" w:ascii="宋体" w:hAnsi="宋体"/>
          <w:color w:val="auto"/>
          <w:sz w:val="24"/>
          <w:szCs w:val="28"/>
          <w:highlight w:val="none"/>
          <w:lang w:eastAsia="zh-CN"/>
        </w:rPr>
        <w:t>法律法规</w:t>
      </w:r>
      <w:r>
        <w:rPr>
          <w:rFonts w:hint="eastAsia" w:ascii="宋体" w:hAnsi="宋体"/>
          <w:color w:val="auto"/>
          <w:sz w:val="24"/>
          <w:szCs w:val="28"/>
          <w:highlight w:val="none"/>
        </w:rPr>
        <w:t>、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402006B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0F56F9C8">
      <w:pPr>
        <w:spacing w:line="360" w:lineRule="auto"/>
        <w:ind w:firstLine="480" w:firstLineChars="200"/>
        <w:rPr>
          <w:rFonts w:hint="eastAsia" w:ascii="宋体" w:hAnsi="宋体"/>
          <w:bCs/>
          <w:color w:val="auto"/>
          <w:sz w:val="24"/>
          <w:szCs w:val="24"/>
          <w:highlight w:val="none"/>
        </w:rPr>
      </w:pPr>
      <w:bookmarkStart w:id="46" w:name="OLE_LINK259"/>
      <w:bookmarkStart w:id="47" w:name="OLE_LINK124"/>
      <w:r>
        <w:rPr>
          <w:rFonts w:hint="eastAsia" w:ascii="宋体" w:hAnsi="宋体"/>
          <w:bCs/>
          <w:color w:val="auto"/>
          <w:sz w:val="24"/>
          <w:szCs w:val="24"/>
          <w:highlight w:val="none"/>
        </w:rPr>
        <w:t>投标人应在招标文件规定的</w:t>
      </w:r>
      <w:bookmarkStart w:id="48" w:name="OLE_LINK6"/>
      <w:r>
        <w:rPr>
          <w:rFonts w:hint="eastAsia" w:ascii="宋体" w:hAnsi="宋体"/>
          <w:bCs/>
          <w:color w:val="auto"/>
          <w:sz w:val="24"/>
          <w:szCs w:val="24"/>
          <w:highlight w:val="none"/>
        </w:rPr>
        <w:t>投标</w:t>
      </w:r>
      <w:bookmarkEnd w:id="48"/>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6"/>
    </w:p>
    <w:p w14:paraId="5ACB4EA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5B6E56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23A657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7"/>
    </w:p>
    <w:bookmarkEnd w:id="47"/>
    <w:p w14:paraId="7DA6EB4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69F6A1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64CE00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7BB43F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37BCF320">
      <w:pPr>
        <w:spacing w:line="360" w:lineRule="auto"/>
        <w:ind w:firstLine="482" w:firstLineChars="200"/>
        <w:rPr>
          <w:rFonts w:hint="eastAsia" w:ascii="宋体" w:hAnsi="宋体"/>
          <w:b/>
          <w:color w:val="auto"/>
          <w:sz w:val="24"/>
          <w:szCs w:val="24"/>
          <w:highlight w:val="none"/>
        </w:rPr>
      </w:pPr>
      <w:bookmarkStart w:id="49" w:name="OLE_LINK125"/>
      <w:r>
        <w:rPr>
          <w:rFonts w:hint="eastAsia" w:ascii="宋体" w:hAnsi="宋体"/>
          <w:b/>
          <w:color w:val="auto"/>
          <w:sz w:val="24"/>
          <w:szCs w:val="24"/>
          <w:highlight w:val="none"/>
        </w:rPr>
        <w:t>15、投标文件的修改和撤回</w:t>
      </w:r>
    </w:p>
    <w:bookmarkEnd w:id="49"/>
    <w:p w14:paraId="6BAB1C6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5F1835F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0" w:name="OLE_LINK74"/>
      <w:r>
        <w:rPr>
          <w:rFonts w:hint="eastAsia" w:ascii="宋体" w:hAnsi="宋体"/>
          <w:bCs/>
          <w:color w:val="auto"/>
          <w:sz w:val="24"/>
          <w:szCs w:val="24"/>
          <w:highlight w:val="none"/>
        </w:rPr>
        <w:t>采购机构</w:t>
      </w:r>
      <w:bookmarkEnd w:id="50"/>
      <w:r>
        <w:rPr>
          <w:rFonts w:hint="eastAsia" w:ascii="宋体" w:hAnsi="宋体"/>
          <w:bCs/>
          <w:color w:val="auto"/>
          <w:sz w:val="24"/>
          <w:szCs w:val="24"/>
          <w:highlight w:val="none"/>
        </w:rPr>
        <w:t>、评标委员会不接受投标人主动对其投标文件做任何补充、修改。</w:t>
      </w:r>
    </w:p>
    <w:p w14:paraId="72820CD8">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74692BB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7F6ED053">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51"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w:t>
      </w:r>
    </w:p>
    <w:p w14:paraId="52494B7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6CDAF137">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61D4849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37059EDC">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00E4AC7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6851F11C">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381C493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40E54ABD">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0C106E4D">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3388804A">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535051D5">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2EDDF474">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78E4FE5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7CEDCE6B">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3E3A31A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19E5FF8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52" w:name="OLE_LINK137"/>
      <w:r>
        <w:rPr>
          <w:rFonts w:hint="eastAsia" w:ascii="宋体" w:hAnsi="宋体" w:cs="宋体"/>
          <w:color w:val="auto"/>
          <w:sz w:val="24"/>
          <w:szCs w:val="24"/>
          <w:highlight w:val="none"/>
          <w:lang w:val="zh-CN"/>
        </w:rPr>
        <w:t>（含虚假承诺）</w:t>
      </w:r>
      <w:bookmarkEnd w:id="52"/>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732A39A4">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22235DB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51"/>
    </w:p>
    <w:p w14:paraId="75FED752">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F803A06">
      <w:pPr>
        <w:spacing w:line="360" w:lineRule="auto"/>
        <w:ind w:firstLine="482" w:firstLineChars="200"/>
        <w:rPr>
          <w:rFonts w:hint="eastAsia" w:ascii="宋体" w:hAnsi="宋体"/>
          <w:bCs/>
          <w:color w:val="auto"/>
          <w:sz w:val="24"/>
          <w:szCs w:val="24"/>
          <w:highlight w:val="none"/>
        </w:rPr>
      </w:pPr>
      <w:r>
        <w:rPr>
          <w:rFonts w:hint="eastAsia" w:ascii="宋体" w:hAnsi="宋体" w:cs="宋体"/>
          <w:b/>
          <w:color w:val="auto"/>
          <w:sz w:val="24"/>
          <w:szCs w:val="24"/>
          <w:highlight w:val="none"/>
        </w:rPr>
        <w:t>17、</w:t>
      </w:r>
      <w:r>
        <w:rPr>
          <w:rFonts w:hint="eastAsia" w:ascii="宋体" w:hAnsi="宋体"/>
          <w:bCs/>
          <w:color w:val="auto"/>
          <w:sz w:val="24"/>
          <w:szCs w:val="24"/>
          <w:highlight w:val="none"/>
        </w:rPr>
        <w:t>本项目不接受联合体，不接受中标后分包。</w:t>
      </w:r>
    </w:p>
    <w:p w14:paraId="684B80F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33A60D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250A52A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3" w:name="OLE_LINK276"/>
      <w:r>
        <w:rPr>
          <w:rFonts w:hint="eastAsia" w:ascii="宋体" w:hAnsi="宋体"/>
          <w:bCs/>
          <w:color w:val="auto"/>
          <w:sz w:val="24"/>
          <w:szCs w:val="24"/>
          <w:highlight w:val="none"/>
          <w:lang w:val="zh-CN"/>
        </w:rPr>
        <w:t>采购人按招标文件规定的时间在指定地点召开开标大会，邀请所有投标人代表参加。投标人不足</w:t>
      </w:r>
      <w:r>
        <w:rPr>
          <w:rFonts w:hint="eastAsia" w:ascii="宋体" w:hAnsi="宋体"/>
          <w:bCs/>
          <w:color w:val="auto"/>
          <w:sz w:val="24"/>
          <w:szCs w:val="24"/>
          <w:highlight w:val="none"/>
        </w:rPr>
        <w:t>3家的，不得开标。</w:t>
      </w:r>
    </w:p>
    <w:bookmarkEnd w:id="53"/>
    <w:p w14:paraId="24A06938">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开标时由投标人自行检查其投标文件的密封情况，经确认无误后，采购人或采购机构当场拆封，宣布投标人名称、投标价格（开标一览表</w:t>
      </w:r>
      <w:bookmarkStart w:id="54" w:name="OLE_LINK310"/>
      <w:r>
        <w:rPr>
          <w:rFonts w:hint="eastAsia" w:ascii="宋体" w:hAnsi="宋体"/>
          <w:bCs/>
          <w:color w:val="auto"/>
          <w:sz w:val="24"/>
          <w:szCs w:val="24"/>
          <w:highlight w:val="none"/>
          <w:lang w:val="zh-CN"/>
        </w:rPr>
        <w:t>中合计金额（大写金额）</w:t>
      </w:r>
      <w:bookmarkEnd w:id="54"/>
      <w:r>
        <w:rPr>
          <w:rFonts w:hint="eastAsia" w:ascii="宋体" w:hAnsi="宋体"/>
          <w:bCs/>
          <w:color w:val="auto"/>
          <w:sz w:val="24"/>
          <w:szCs w:val="24"/>
          <w:highlight w:val="none"/>
          <w:lang w:val="zh-CN"/>
        </w:rPr>
        <w:t>）和招标文件规定的需要宣布的其他内容。</w:t>
      </w:r>
    </w:p>
    <w:p w14:paraId="66C8DD3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5"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5"/>
      <w:r>
        <w:rPr>
          <w:rFonts w:hint="eastAsia" w:ascii="宋体" w:hAnsi="宋体"/>
          <w:bCs/>
          <w:color w:val="auto"/>
          <w:sz w:val="24"/>
          <w:szCs w:val="24"/>
          <w:highlight w:val="none"/>
          <w:lang w:val="zh-CN"/>
        </w:rPr>
        <w:t>投标人未参加开标的，视同认可开标结果。</w:t>
      </w:r>
    </w:p>
    <w:p w14:paraId="4028B23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6" w:name="OLE_LINK131"/>
      <w:bookmarkStart w:id="57"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6"/>
      <w:bookmarkStart w:id="58"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评标委员会作出认定</w:t>
      </w:r>
      <w:bookmarkEnd w:id="57"/>
      <w:bookmarkEnd w:id="58"/>
      <w:r>
        <w:rPr>
          <w:rFonts w:hint="eastAsia" w:ascii="宋体" w:hAnsi="宋体"/>
          <w:bCs/>
          <w:color w:val="auto"/>
          <w:sz w:val="24"/>
          <w:szCs w:val="24"/>
          <w:highlight w:val="none"/>
          <w:lang w:val="zh-CN"/>
        </w:rPr>
        <w:t>。</w:t>
      </w:r>
    </w:p>
    <w:p w14:paraId="52C6A83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195A51DF">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26F449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656E60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75DDBA4B">
      <w:pPr>
        <w:spacing w:line="360" w:lineRule="auto"/>
        <w:ind w:firstLine="480" w:firstLineChars="200"/>
        <w:rPr>
          <w:rFonts w:hint="eastAsia" w:ascii="宋体" w:hAnsi="宋体" w:cs="宋体"/>
          <w:color w:val="auto"/>
          <w:sz w:val="24"/>
          <w:szCs w:val="24"/>
          <w:highlight w:val="none"/>
        </w:rPr>
      </w:pPr>
      <w:bookmarkStart w:id="59" w:name="OLE_LINK257"/>
      <w:r>
        <w:rPr>
          <w:rFonts w:hint="eastAsia" w:ascii="宋体" w:hAnsi="宋体" w:cs="宋体"/>
          <w:color w:val="auto"/>
          <w:sz w:val="24"/>
          <w:szCs w:val="24"/>
          <w:highlight w:val="none"/>
        </w:rPr>
        <w:t xml:space="preserve">19.2.1 </w:t>
      </w:r>
      <w:bookmarkEnd w:id="59"/>
      <w:r>
        <w:rPr>
          <w:rFonts w:hint="eastAsia" w:ascii="宋体" w:hAnsi="宋体" w:cs="宋体"/>
          <w:color w:val="auto"/>
          <w:sz w:val="24"/>
          <w:szCs w:val="24"/>
          <w:highlight w:val="none"/>
        </w:rPr>
        <w:t>按照本须知“7、投标文件的组成”中“（3）资格证明文件”的要求依法对投标人的资格进行审查。</w:t>
      </w:r>
    </w:p>
    <w:p w14:paraId="6ABDDE2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77AECE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112C14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执行人、重大税收违法案件当事人名单、政府采购严重违法失信名单，或在“中国政府采购网”网站（www.ccgp.gov.cn）被列入政府采购严重违法失信行为记录名单。</w:t>
      </w:r>
    </w:p>
    <w:p w14:paraId="30B9154E">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1F31FC0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70A8DFF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2E46F994">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p>
    <w:p w14:paraId="4F66B6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0"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0"/>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4B9C0D24">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E2347EB">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14188C1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.5.1本次招标采用综合评分法。评标委员会</w:t>
      </w:r>
      <w:bookmarkStart w:id="61"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1"/>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BBD1546">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2EFE481D">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1CD1726F">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653089D6">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78BFA0B6">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14:paraId="1E8BC1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2"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2"/>
      <w:r>
        <w:rPr>
          <w:rFonts w:hint="eastAsia" w:ascii="宋体" w:hAnsi="宋体" w:cs="宋体"/>
          <w:color w:val="auto"/>
          <w:sz w:val="24"/>
          <w:szCs w:val="24"/>
          <w:highlight w:val="none"/>
        </w:rPr>
        <w:t>外，不对投标人的投标价格进行任何调整。</w:t>
      </w:r>
    </w:p>
    <w:p w14:paraId="01B49DE8">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B07B00F">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7507AAEA">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2F81B326">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417B8BF0">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2FECACA6">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6DBD4EA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375ABC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4314FB0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00832F7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39238FE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4F6D83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6062F8AB">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1767A3BE">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2A7C67C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462D30E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367E6813">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260ADB46">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32255BF8">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14:paraId="35CCD341">
      <w:pPr>
        <w:numPr>
          <w:ilvl w:val="0"/>
          <w:numId w:val="6"/>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14:paraId="45C2C87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60E3BF0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20BA591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5个工作日内退还未中标供应商的投标保证金，不计利息。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4E1E3C7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3F2C7256">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14:paraId="6CA35484">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14:paraId="0E0C4E3F">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2CA5D04C">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与采购人、其他供应商或者采购代理机构恶意串通的；</w:t>
      </w:r>
    </w:p>
    <w:p w14:paraId="205979A0">
      <w:pPr>
        <w:numPr>
          <w:ilvl w:val="0"/>
          <w:numId w:val="7"/>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14:paraId="7AAF70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1A7D9BE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5ECE91A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53DCC41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中标供应商应于中标通知书发出之日起30日内，按照招标文件确定的事项与采购人签订采购合同；</w:t>
      </w:r>
    </w:p>
    <w:p w14:paraId="3BC2E7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077C787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1FC6CD2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73CFA33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.4 签订合同前，中标单位须支付中标总合同的</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的</w:t>
      </w:r>
      <w:r>
        <w:rPr>
          <w:rFonts w:hint="eastAsia" w:ascii="宋体" w:hAnsi="宋体"/>
          <w:bCs/>
          <w:color w:val="auto"/>
          <w:sz w:val="24"/>
          <w:szCs w:val="24"/>
          <w:highlight w:val="none"/>
          <w:lang w:val="zh-CN"/>
        </w:rPr>
        <w:t>履约保证金。</w:t>
      </w:r>
    </w:p>
    <w:tbl>
      <w:tblPr>
        <w:tblStyle w:val="3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64AD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100992EB">
            <w:pPr>
              <w:jc w:val="center"/>
              <w:rPr>
                <w:rFonts w:hint="eastAsia" w:hAnsi="宋体"/>
                <w:bCs/>
                <w:color w:val="auto"/>
                <w:szCs w:val="21"/>
                <w:highlight w:val="none"/>
                <w:lang w:val="zh-CN"/>
              </w:rPr>
            </w:pPr>
            <w:bookmarkStart w:id="63" w:name="OLE_LINK136"/>
            <w:r>
              <w:rPr>
                <w:rFonts w:hint="eastAsia"/>
                <w:color w:val="auto"/>
                <w:szCs w:val="21"/>
                <w:highlight w:val="none"/>
              </w:rPr>
              <w:t>交纳履约保证金账户名称</w:t>
            </w:r>
          </w:p>
        </w:tc>
        <w:tc>
          <w:tcPr>
            <w:tcW w:w="3260" w:type="dxa"/>
            <w:noWrap w:val="0"/>
            <w:vAlign w:val="center"/>
          </w:tcPr>
          <w:p w14:paraId="6F5296B9">
            <w:pPr>
              <w:jc w:val="center"/>
              <w:rPr>
                <w:rFonts w:hint="eastAsia" w:ascii="宋体" w:hAnsi="宋体" w:eastAsia="宋体"/>
                <w:bCs/>
                <w:color w:val="auto"/>
                <w:sz w:val="24"/>
                <w:szCs w:val="21"/>
                <w:highlight w:val="none"/>
                <w:lang w:val="zh-CN" w:eastAsia="zh-CN"/>
              </w:rPr>
            </w:pPr>
            <w:r>
              <w:rPr>
                <w:rFonts w:hint="eastAsia"/>
                <w:color w:val="auto"/>
                <w:highlight w:val="none"/>
                <w:lang w:eastAsia="zh-CN"/>
              </w:rPr>
              <w:t>宜兴市环保集团有限公司</w:t>
            </w:r>
          </w:p>
        </w:tc>
        <w:tc>
          <w:tcPr>
            <w:tcW w:w="1134" w:type="dxa"/>
            <w:vMerge w:val="restart"/>
            <w:noWrap w:val="0"/>
            <w:vAlign w:val="center"/>
          </w:tcPr>
          <w:p w14:paraId="2055A258">
            <w:pPr>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35116013">
            <w:pPr>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19C863DB">
            <w:pPr>
              <w:jc w:val="center"/>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rPr>
              <w:t>银行保函</w:t>
            </w:r>
            <w:r>
              <w:rPr>
                <w:rFonts w:hint="eastAsia" w:ascii="宋体" w:hAnsi="宋体"/>
                <w:bCs/>
                <w:color w:val="auto"/>
                <w:szCs w:val="21"/>
                <w:highlight w:val="none"/>
                <w:lang w:val="zh-CN"/>
              </w:rPr>
              <w:t>（不接受其他形式的履约保证金）</w:t>
            </w:r>
          </w:p>
        </w:tc>
      </w:tr>
      <w:tr w14:paraId="389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333945A9">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260" w:type="dxa"/>
            <w:noWrap w:val="0"/>
            <w:vAlign w:val="center"/>
          </w:tcPr>
          <w:p w14:paraId="52CE519F">
            <w:pPr>
              <w:jc w:val="center"/>
              <w:rPr>
                <w:rFonts w:hAnsi="宋体"/>
                <w:bCs/>
                <w:color w:val="auto"/>
                <w:szCs w:val="21"/>
                <w:highlight w:val="yellow"/>
                <w:lang w:val="zh-CN"/>
              </w:rPr>
            </w:pPr>
            <w:r>
              <w:rPr>
                <w:rFonts w:hint="eastAsia" w:ascii="宋体" w:hAnsi="宋体"/>
                <w:bCs/>
                <w:color w:val="auto"/>
                <w:szCs w:val="21"/>
                <w:highlight w:val="yellow"/>
                <w:lang w:val="zh-CN"/>
              </w:rPr>
              <w:t>中国光大银行股份有限公司宜兴支行</w:t>
            </w:r>
          </w:p>
        </w:tc>
        <w:tc>
          <w:tcPr>
            <w:tcW w:w="1134" w:type="dxa"/>
            <w:vMerge w:val="continue"/>
            <w:noWrap w:val="0"/>
            <w:vAlign w:val="center"/>
          </w:tcPr>
          <w:p w14:paraId="2C6841DD">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18584E43">
            <w:pPr>
              <w:spacing w:line="360" w:lineRule="auto"/>
              <w:jc w:val="center"/>
              <w:rPr>
                <w:rFonts w:hint="eastAsia" w:ascii="宋体" w:hAnsi="宋体"/>
                <w:bCs/>
                <w:color w:val="auto"/>
                <w:szCs w:val="21"/>
                <w:highlight w:val="none"/>
                <w:lang w:val="zh-CN"/>
              </w:rPr>
            </w:pPr>
          </w:p>
        </w:tc>
      </w:tr>
      <w:tr w14:paraId="0BEB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598B1A0D">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260" w:type="dxa"/>
            <w:noWrap w:val="0"/>
            <w:vAlign w:val="center"/>
          </w:tcPr>
          <w:p w14:paraId="0AF835C5">
            <w:pPr>
              <w:jc w:val="center"/>
              <w:rPr>
                <w:rFonts w:hAnsi="宋体"/>
                <w:bCs/>
                <w:color w:val="auto"/>
                <w:szCs w:val="21"/>
                <w:highlight w:val="yellow"/>
                <w:lang w:val="zh-CN"/>
              </w:rPr>
            </w:pPr>
            <w:r>
              <w:rPr>
                <w:rFonts w:hint="eastAsia" w:ascii="宋体" w:hAnsi="宋体"/>
                <w:bCs/>
                <w:color w:val="auto"/>
                <w:szCs w:val="21"/>
                <w:highlight w:val="yellow"/>
                <w:lang w:val="zh-CN"/>
              </w:rPr>
              <w:t>51610188000102616</w:t>
            </w:r>
          </w:p>
        </w:tc>
        <w:tc>
          <w:tcPr>
            <w:tcW w:w="1134" w:type="dxa"/>
            <w:vMerge w:val="continue"/>
            <w:noWrap w:val="0"/>
            <w:vAlign w:val="center"/>
          </w:tcPr>
          <w:p w14:paraId="7E67940C">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1994E3F5">
            <w:pPr>
              <w:spacing w:line="360" w:lineRule="auto"/>
              <w:jc w:val="center"/>
              <w:rPr>
                <w:rFonts w:hint="eastAsia" w:ascii="宋体" w:hAnsi="宋体"/>
                <w:bCs/>
                <w:color w:val="auto"/>
                <w:szCs w:val="21"/>
                <w:highlight w:val="none"/>
                <w:lang w:val="zh-CN"/>
              </w:rPr>
            </w:pPr>
          </w:p>
        </w:tc>
      </w:tr>
      <w:bookmarkEnd w:id="63"/>
    </w:tbl>
    <w:p w14:paraId="33CF4AA9">
      <w:pPr>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注：</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若乙方缴纳</w:t>
      </w:r>
      <w:r>
        <w:rPr>
          <w:rFonts w:hint="eastAsia" w:ascii="宋体" w:hAnsi="宋体" w:eastAsia="宋体" w:cs="Times New Roman"/>
          <w:bCs/>
          <w:color w:val="auto"/>
          <w:sz w:val="24"/>
          <w:szCs w:val="24"/>
          <w:highlight w:val="none"/>
          <w:lang w:val="zh-CN"/>
        </w:rPr>
        <w:t>履约</w:t>
      </w:r>
      <w:r>
        <w:rPr>
          <w:rFonts w:hint="eastAsia" w:ascii="宋体" w:hAnsi="宋体" w:eastAsia="宋体" w:cs="Times New Roman"/>
          <w:bCs/>
          <w:color w:val="auto"/>
          <w:sz w:val="24"/>
          <w:szCs w:val="24"/>
          <w:highlight w:val="none"/>
        </w:rPr>
        <w:t>保证金的形式为开具银行保函，需确保保函有效期覆盖合同期。若合同在执行过程中保函即将过期，乙方需提前一个月重新开具银行保函交至甲方，否则甲方将停付进度款。</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履约保证金于合同履约结束之日起三十个工作日内无息退还。</w:t>
      </w:r>
    </w:p>
    <w:p w14:paraId="2347E5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4"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需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bookmarkStart w:id="65" w:name="OLE_LINK2"/>
      <w:r>
        <w:rPr>
          <w:rFonts w:hint="eastAsia" w:ascii="宋体" w:hAnsi="宋体"/>
          <w:bCs/>
          <w:color w:val="auto"/>
          <w:sz w:val="24"/>
          <w:szCs w:val="24"/>
          <w:highlight w:val="none"/>
          <w:lang w:val="zh-CN"/>
        </w:rPr>
        <w:t>。</w:t>
      </w:r>
      <w:bookmarkEnd w:id="64"/>
      <w:bookmarkEnd w:id="65"/>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794E6B1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78E7B06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71E817F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1D2BC1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0462C7F6">
      <w:pPr>
        <w:numPr>
          <w:ilvl w:val="0"/>
          <w:numId w:val="8"/>
        </w:numPr>
        <w:spacing w:line="360" w:lineRule="auto"/>
        <w:rPr>
          <w:rFonts w:hint="eastAsia" w:ascii="宋体" w:hAnsi="宋体"/>
          <w:bCs/>
          <w:color w:val="auto"/>
          <w:sz w:val="24"/>
          <w:szCs w:val="24"/>
          <w:highlight w:val="none"/>
          <w:lang w:val="zh-CN"/>
        </w:rPr>
      </w:pPr>
      <w:bookmarkStart w:id="66" w:name="OLE_LINK184"/>
      <w:r>
        <w:rPr>
          <w:rFonts w:hint="eastAsia" w:ascii="宋体" w:hAnsi="宋体"/>
          <w:bCs/>
          <w:color w:val="auto"/>
          <w:sz w:val="24"/>
          <w:szCs w:val="24"/>
          <w:highlight w:val="none"/>
          <w:lang w:val="zh-CN"/>
        </w:rPr>
        <w:t>投标人的投标行为必须遵守各项法律法规、规章及相关制度的规定。</w:t>
      </w:r>
    </w:p>
    <w:p w14:paraId="65BD7B07">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14:paraId="41F89264">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0D2D5CD6">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投标人中标后，在供货期内如遇产品平滑（自然）升级，中标供应商应提供平滑升级商品不补差价（招标文件中有特殊要求的除外）。</w:t>
      </w:r>
    </w:p>
    <w:p w14:paraId="25DD5EFE">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7BB746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611D7E7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6"/>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24941E9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74E9B40A">
      <w:pPr>
        <w:spacing w:line="360" w:lineRule="auto"/>
        <w:ind w:firstLine="482" w:firstLineChars="200"/>
        <w:rPr>
          <w:rFonts w:hint="eastAsia" w:ascii="宋体" w:hAnsi="宋体"/>
          <w:b/>
          <w:color w:val="auto"/>
          <w:sz w:val="24"/>
          <w:szCs w:val="24"/>
          <w:highlight w:val="none"/>
        </w:rPr>
      </w:pPr>
      <w:bookmarkStart w:id="67" w:name="_Toc23122"/>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、询问</w:t>
      </w:r>
    </w:p>
    <w:p w14:paraId="0DEB8A9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4447CFB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0FCD607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5B5DC766">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29</w:t>
      </w:r>
      <w:r>
        <w:rPr>
          <w:rFonts w:hint="eastAsia" w:ascii="宋体" w:hAnsi="宋体" w:eastAsia="宋体" w:cs="Times New Roman"/>
          <w:b/>
          <w:color w:val="auto"/>
          <w:sz w:val="24"/>
          <w:szCs w:val="24"/>
          <w:highlight w:val="none"/>
        </w:rPr>
        <w:t xml:space="preserve">.2 </w:t>
      </w:r>
      <w:bookmarkStart w:id="68" w:name="OLE_LINK44"/>
      <w:r>
        <w:rPr>
          <w:rFonts w:hint="eastAsia" w:ascii="宋体" w:hAnsi="宋体" w:eastAsia="宋体" w:cs="Times New Roman"/>
          <w:b/>
          <w:color w:val="auto"/>
          <w:sz w:val="24"/>
          <w:szCs w:val="24"/>
          <w:highlight w:val="none"/>
          <w:lang w:val="zh-CN"/>
        </w:rPr>
        <w:t>质疑答复责任主体：</w:t>
      </w:r>
    </w:p>
    <w:p w14:paraId="1B48D6B0">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08F4D396">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8"/>
    </w:p>
    <w:p w14:paraId="5C34FED7">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.3 </w:t>
      </w:r>
      <w:bookmarkStart w:id="69"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9"/>
    </w:p>
    <w:p w14:paraId="43F97B61">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61CA6378">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466C524B">
      <w:pPr>
        <w:spacing w:line="360" w:lineRule="auto"/>
        <w:ind w:firstLine="482" w:firstLineChars="200"/>
        <w:rPr>
          <w:rFonts w:hint="eastAsia" w:ascii="宋体" w:hAnsi="宋体"/>
          <w:b/>
          <w:color w:val="auto"/>
          <w:sz w:val="24"/>
          <w:szCs w:val="24"/>
          <w:highlight w:val="none"/>
        </w:rPr>
      </w:pPr>
      <w:bookmarkStart w:id="70" w:name="OLE_LINK142"/>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、投诉</w:t>
      </w:r>
    </w:p>
    <w:bookmarkEnd w:id="70"/>
    <w:p w14:paraId="5E080216">
      <w:pPr>
        <w:spacing w:line="360" w:lineRule="auto"/>
        <w:ind w:firstLine="420"/>
        <w:jc w:val="left"/>
        <w:rPr>
          <w:rFonts w:hint="eastAsia" w:ascii="宋体" w:hAnsi="宋体"/>
          <w:bCs/>
          <w:color w:val="auto"/>
          <w:sz w:val="24"/>
          <w:szCs w:val="24"/>
          <w:highlight w:val="none"/>
          <w:lang w:val="zh-CN"/>
        </w:rPr>
      </w:pPr>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353DE99D">
      <w:pPr>
        <w:spacing w:line="360" w:lineRule="auto"/>
        <w:ind w:firstLine="480" w:firstLineChars="200"/>
        <w:jc w:val="left"/>
        <w:rPr>
          <w:rFonts w:hint="eastAsia" w:ascii="黑体" w:hAnsi="黑体" w:eastAsia="黑体"/>
          <w:color w:val="auto"/>
          <w:sz w:val="28"/>
          <w:highlight w:val="none"/>
        </w:rPr>
      </w:pPr>
      <w:r>
        <w:rPr>
          <w:rFonts w:hint="eastAsia" w:ascii="宋体" w:hAnsi="宋体"/>
          <w:bCs/>
          <w:color w:val="auto"/>
          <w:sz w:val="24"/>
          <w:szCs w:val="24"/>
          <w:highlight w:val="none"/>
        </w:rPr>
        <w:br w:type="page"/>
      </w:r>
      <w:bookmarkStart w:id="71" w:name="_Toc12653"/>
      <w:r>
        <w:rPr>
          <w:rFonts w:hint="eastAsia" w:ascii="宋体" w:hAnsi="宋体"/>
          <w:bCs/>
          <w:color w:val="auto"/>
          <w:sz w:val="24"/>
          <w:szCs w:val="24"/>
          <w:highlight w:val="none"/>
        </w:rPr>
        <w:t xml:space="preserve">                   </w:t>
      </w:r>
      <w:r>
        <w:rPr>
          <w:rFonts w:hint="eastAsia" w:ascii="黑体" w:hAnsi="黑体" w:eastAsia="黑体"/>
          <w:color w:val="auto"/>
          <w:sz w:val="28"/>
          <w:highlight w:val="none"/>
        </w:rPr>
        <w:t>第三章 项目技术要求和有关说明</w:t>
      </w:r>
      <w:bookmarkEnd w:id="67"/>
      <w:bookmarkEnd w:id="71"/>
    </w:p>
    <w:p w14:paraId="223BB35E">
      <w:pPr>
        <w:spacing w:line="360" w:lineRule="auto"/>
        <w:ind w:firstLine="480" w:firstLineChars="200"/>
        <w:rPr>
          <w:rFonts w:hint="eastAsia" w:ascii="宋体" w:hAnsi="宋体"/>
          <w:sz w:val="24"/>
          <w:szCs w:val="24"/>
        </w:rPr>
      </w:pPr>
      <w:bookmarkStart w:id="72" w:name="_Toc25105"/>
      <w:bookmarkStart w:id="73" w:name="_Toc30976"/>
      <w:r>
        <w:rPr>
          <w:rFonts w:hint="eastAsia" w:ascii="宋体" w:hAnsi="宋体"/>
          <w:sz w:val="24"/>
          <w:szCs w:val="24"/>
        </w:rPr>
        <w:t>本项目为宜兴市环科园喷涂“绿岛”项目深度调研服务项目，具体要求如下：</w:t>
      </w:r>
    </w:p>
    <w:p w14:paraId="0253EFC2">
      <w:pPr>
        <w:spacing w:line="360" w:lineRule="auto"/>
        <w:ind w:firstLine="480" w:firstLineChars="200"/>
        <w:rPr>
          <w:rFonts w:hint="eastAsia" w:ascii="宋体" w:hAnsi="宋体"/>
          <w:sz w:val="24"/>
          <w:szCs w:val="24"/>
        </w:rPr>
      </w:pPr>
      <w:r>
        <w:rPr>
          <w:rFonts w:hint="eastAsia" w:ascii="宋体" w:hAnsi="宋体"/>
          <w:sz w:val="24"/>
          <w:szCs w:val="24"/>
        </w:rPr>
        <w:t>一、项目技术要求：</w:t>
      </w:r>
    </w:p>
    <w:p w14:paraId="6348B4F9">
      <w:pPr>
        <w:spacing w:line="360" w:lineRule="auto"/>
        <w:ind w:firstLine="480" w:firstLineChars="200"/>
        <w:jc w:val="left"/>
        <w:rPr>
          <w:rFonts w:hint="eastAsia" w:ascii="宋体" w:hAnsi="宋体"/>
          <w:sz w:val="24"/>
          <w:szCs w:val="24"/>
        </w:rPr>
      </w:pPr>
      <w:r>
        <w:rPr>
          <w:rFonts w:hint="eastAsia" w:ascii="宋体" w:hAnsi="宋体"/>
          <w:kern w:val="0"/>
          <w:sz w:val="24"/>
        </w:rPr>
        <w:t>1</w:t>
      </w:r>
      <w:r>
        <w:rPr>
          <w:rFonts w:hint="eastAsia" w:ascii="宋体" w:hAnsi="宋体"/>
          <w:sz w:val="24"/>
          <w:szCs w:val="24"/>
          <w:lang w:val="en-US" w:eastAsia="zh-CN"/>
        </w:rPr>
        <w:t>、</w:t>
      </w:r>
      <w:r>
        <w:rPr>
          <w:rFonts w:hint="eastAsia" w:ascii="宋体" w:hAnsi="宋体"/>
          <w:kern w:val="0"/>
          <w:sz w:val="24"/>
        </w:rPr>
        <w:t>工作</w:t>
      </w:r>
      <w:r>
        <w:rPr>
          <w:rFonts w:hint="eastAsia" w:ascii="宋体" w:hAnsi="宋体"/>
          <w:sz w:val="24"/>
          <w:szCs w:val="24"/>
        </w:rPr>
        <w:t>内容</w:t>
      </w:r>
    </w:p>
    <w:p w14:paraId="3D7A36E1">
      <w:pPr>
        <w:spacing w:line="360" w:lineRule="auto"/>
        <w:ind w:firstLine="480" w:firstLineChars="200"/>
        <w:rPr>
          <w:rFonts w:hint="eastAsia"/>
          <w:sz w:val="24"/>
          <w:lang w:val="en-US" w:eastAsia="zh-CN"/>
        </w:rPr>
      </w:pPr>
      <w:r>
        <w:rPr>
          <w:rFonts w:hint="eastAsia"/>
          <w:sz w:val="24"/>
          <w:lang w:val="en-US" w:eastAsia="zh-CN"/>
        </w:rPr>
        <w:t>为帮助宜兴市环保企业提高表面喷涂治污成效、降低治污成本，切实推动绿色高质量发展，宜兴市环保集团有限公司拟投资建设喷涂“绿岛”项目。为进一步摸清市场底数，增强投资信心，本次拟针对喷涂“绿岛”项目开展市场深度调研，并编制深度调研报告，以供后续项目推进参考。</w:t>
      </w:r>
    </w:p>
    <w:p w14:paraId="5A9E370C">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成果要求</w:t>
      </w:r>
    </w:p>
    <w:p w14:paraId="7AFC353B">
      <w:pPr>
        <w:spacing w:line="360" w:lineRule="auto"/>
        <w:ind w:firstLine="480" w:firstLineChars="200"/>
        <w:rPr>
          <w:rFonts w:hint="eastAsia"/>
          <w:sz w:val="24"/>
          <w:lang w:val="en-US" w:eastAsia="zh-CN"/>
        </w:rPr>
      </w:pPr>
      <w:r>
        <w:rPr>
          <w:rFonts w:hint="eastAsia"/>
          <w:sz w:val="24"/>
          <w:lang w:val="en-US" w:eastAsia="zh-CN"/>
        </w:rPr>
        <w:t>提交《</w:t>
      </w:r>
      <w:r>
        <w:rPr>
          <w:rFonts w:hint="eastAsia" w:ascii="宋体" w:hAnsi="宋体"/>
          <w:sz w:val="24"/>
          <w:szCs w:val="24"/>
        </w:rPr>
        <w:t>宜兴市环科园喷涂“绿岛”项目深度调研</w:t>
      </w:r>
      <w:r>
        <w:rPr>
          <w:rFonts w:hint="eastAsia"/>
          <w:sz w:val="24"/>
          <w:lang w:val="en-US" w:eastAsia="zh-CN"/>
        </w:rPr>
        <w:t>报告》电子稿和3份纸质稿报告。</w:t>
      </w:r>
    </w:p>
    <w:p w14:paraId="0B770B40">
      <w:pPr>
        <w:spacing w:line="360" w:lineRule="auto"/>
        <w:ind w:firstLine="480" w:firstLineChars="200"/>
        <w:rPr>
          <w:rFonts w:ascii="宋体" w:hAnsi="宋体"/>
          <w:sz w:val="24"/>
          <w:szCs w:val="24"/>
        </w:rPr>
      </w:pPr>
      <w:r>
        <w:rPr>
          <w:rFonts w:hint="eastAsia" w:ascii="宋体" w:hAnsi="宋体"/>
          <w:sz w:val="24"/>
          <w:szCs w:val="24"/>
        </w:rPr>
        <w:t>二、有关说明</w:t>
      </w:r>
    </w:p>
    <w:p w14:paraId="587A3BD7">
      <w:pPr>
        <w:spacing w:line="360" w:lineRule="auto"/>
        <w:ind w:firstLine="482" w:firstLineChars="200"/>
        <w:rPr>
          <w:rStyle w:val="38"/>
          <w:rFonts w:hint="default"/>
          <w:highlight w:val="none"/>
          <w:lang w:val="en-US"/>
        </w:rPr>
      </w:pPr>
      <w:r>
        <w:rPr>
          <w:rFonts w:hint="eastAsia" w:ascii="宋体" w:hAnsi="宋体"/>
          <w:b/>
          <w:sz w:val="24"/>
          <w:szCs w:val="24"/>
        </w:rPr>
        <w:t>1、服</w:t>
      </w:r>
      <w:r>
        <w:rPr>
          <w:rFonts w:hint="eastAsia" w:ascii="宋体" w:hAnsi="宋体"/>
          <w:b/>
          <w:sz w:val="24"/>
          <w:szCs w:val="24"/>
          <w:highlight w:val="none"/>
        </w:rPr>
        <w:t>务期限：</w:t>
      </w:r>
      <w:r>
        <w:rPr>
          <w:rFonts w:hint="eastAsia"/>
          <w:sz w:val="24"/>
          <w:lang w:val="en-US" w:eastAsia="zh-CN"/>
        </w:rPr>
        <w:t>报告终稿于2025年2月14日前提交</w:t>
      </w:r>
      <w:r>
        <w:rPr>
          <w:rFonts w:hint="eastAsia"/>
          <w:sz w:val="24"/>
          <w:lang w:eastAsia="zh-CN"/>
        </w:rPr>
        <w:t>。</w:t>
      </w:r>
    </w:p>
    <w:p w14:paraId="73D55B1C">
      <w:pPr>
        <w:spacing w:line="360" w:lineRule="auto"/>
        <w:ind w:firstLine="482" w:firstLineChars="200"/>
        <w:rPr>
          <w:rFonts w:hint="eastAsia" w:ascii="宋体" w:hAnsi="宋体"/>
          <w:bCs/>
          <w:sz w:val="24"/>
          <w:highlight w:val="none"/>
        </w:rPr>
      </w:pPr>
      <w:r>
        <w:rPr>
          <w:rFonts w:hint="eastAsia" w:ascii="宋体" w:hAnsi="宋体"/>
          <w:b/>
          <w:sz w:val="24"/>
          <w:highlight w:val="none"/>
        </w:rPr>
        <w:t>2、服务地点</w:t>
      </w:r>
      <w:r>
        <w:rPr>
          <w:rFonts w:hint="eastAsia" w:ascii="宋体" w:hAnsi="宋体"/>
          <w:bCs/>
          <w:sz w:val="24"/>
          <w:highlight w:val="none"/>
        </w:rPr>
        <w:t>：采购</w:t>
      </w:r>
      <w:r>
        <w:rPr>
          <w:rFonts w:hint="eastAsia" w:ascii="宋体" w:hAnsi="宋体"/>
          <w:bCs/>
          <w:sz w:val="24"/>
          <w:highlight w:val="none"/>
          <w:lang w:val="en-US" w:eastAsia="zh-CN"/>
        </w:rPr>
        <w:t>人</w:t>
      </w:r>
      <w:r>
        <w:rPr>
          <w:rFonts w:hint="eastAsia" w:ascii="宋体" w:hAnsi="宋体"/>
          <w:bCs/>
          <w:sz w:val="24"/>
          <w:highlight w:val="none"/>
        </w:rPr>
        <w:t>指定地点。</w:t>
      </w:r>
    </w:p>
    <w:p w14:paraId="69A24D04">
      <w:pPr>
        <w:spacing w:line="360" w:lineRule="auto"/>
        <w:ind w:firstLine="482" w:firstLineChars="200"/>
        <w:rPr>
          <w:rFonts w:hint="eastAsia" w:ascii="宋体" w:hAnsi="宋体"/>
          <w:bCs/>
          <w:sz w:val="24"/>
          <w:highlight w:val="none"/>
        </w:rPr>
      </w:pPr>
      <w:r>
        <w:rPr>
          <w:rFonts w:hint="eastAsia" w:ascii="宋体" w:hAnsi="宋体"/>
          <w:b/>
          <w:sz w:val="24"/>
          <w:highlight w:val="none"/>
        </w:rPr>
        <w:t>3、验收标准</w:t>
      </w:r>
      <w:r>
        <w:rPr>
          <w:rFonts w:hint="eastAsia" w:ascii="宋体" w:hAnsi="宋体"/>
          <w:bCs/>
          <w:sz w:val="24"/>
          <w:highlight w:val="none"/>
        </w:rPr>
        <w:t>：采购人根据国家有关规定、</w:t>
      </w:r>
      <w:r>
        <w:rPr>
          <w:rFonts w:hint="eastAsia" w:ascii="宋体" w:hAnsi="宋体"/>
          <w:bCs/>
          <w:sz w:val="24"/>
          <w:highlight w:val="none"/>
          <w:lang w:val="en-US" w:eastAsia="zh-CN"/>
        </w:rPr>
        <w:t>招标</w:t>
      </w:r>
      <w:r>
        <w:rPr>
          <w:rFonts w:hint="eastAsia" w:ascii="宋体" w:hAnsi="宋体"/>
          <w:bCs/>
          <w:sz w:val="24"/>
          <w:highlight w:val="none"/>
        </w:rPr>
        <w:t>文件以及合同约定的内容。</w:t>
      </w:r>
    </w:p>
    <w:p w14:paraId="06DD06CF">
      <w:pPr>
        <w:spacing w:line="360" w:lineRule="auto"/>
        <w:ind w:firstLine="482" w:firstLineChars="200"/>
        <w:rPr>
          <w:rFonts w:hint="default" w:ascii="宋体" w:hAnsi="宋体" w:eastAsia="宋体"/>
          <w:b/>
          <w:bCs/>
          <w:sz w:val="24"/>
          <w:szCs w:val="24"/>
          <w:highlight w:val="none"/>
          <w:lang w:val="en-US" w:eastAsia="zh-CN"/>
        </w:rPr>
      </w:pPr>
      <w:r>
        <w:rPr>
          <w:rFonts w:hint="eastAsia"/>
          <w:b/>
          <w:sz w:val="24"/>
          <w:szCs w:val="24"/>
          <w:highlight w:val="none"/>
        </w:rPr>
        <w:t>4、付款步骤</w:t>
      </w:r>
      <w:r>
        <w:rPr>
          <w:rFonts w:hint="eastAsia"/>
          <w:bCs/>
          <w:sz w:val="24"/>
          <w:szCs w:val="24"/>
          <w:highlight w:val="none"/>
        </w:rPr>
        <w:t>：</w:t>
      </w:r>
      <w:r>
        <w:rPr>
          <w:rFonts w:hint="eastAsia"/>
          <w:bCs/>
          <w:sz w:val="24"/>
          <w:szCs w:val="24"/>
          <w:highlight w:val="none"/>
          <w:lang w:val="en-US" w:eastAsia="zh-CN"/>
        </w:rPr>
        <w:t>合同签订后支付合同价的30%，余款在相关成果报告提交并经采购人审核通过后付清。</w:t>
      </w:r>
    </w:p>
    <w:p w14:paraId="1A039898">
      <w:pPr>
        <w:pStyle w:val="30"/>
        <w:numPr>
          <w:ilvl w:val="0"/>
          <w:numId w:val="0"/>
        </w:numPr>
        <w:rPr>
          <w:rFonts w:hint="eastAsia"/>
          <w:highlight w:val="none"/>
          <w:lang w:val="en-US" w:eastAsia="zh-CN"/>
        </w:rPr>
      </w:pPr>
    </w:p>
    <w:p w14:paraId="55C791B9">
      <w:pPr>
        <w:pStyle w:val="30"/>
        <w:rPr>
          <w:rFonts w:hint="eastAsia"/>
          <w:highlight w:val="none"/>
          <w:lang w:val="en-US" w:eastAsia="zh-CN"/>
        </w:rPr>
      </w:pPr>
    </w:p>
    <w:p w14:paraId="52468C11">
      <w:pPr>
        <w:pStyle w:val="16"/>
        <w:ind w:left="0" w:leftChars="0"/>
        <w:rPr>
          <w:color w:val="auto"/>
          <w:highlight w:val="none"/>
        </w:rPr>
      </w:pPr>
    </w:p>
    <w:p w14:paraId="0B24AF28">
      <w:pPr>
        <w:spacing w:line="360" w:lineRule="auto"/>
        <w:ind w:firstLine="480" w:firstLineChars="200"/>
        <w:rPr>
          <w:rFonts w:hint="eastAsia" w:ascii="宋体" w:hAnsi="宋体" w:cs="宋体"/>
          <w:bCs/>
          <w:color w:val="auto"/>
          <w:sz w:val="24"/>
          <w:highlight w:val="none"/>
        </w:rPr>
      </w:pPr>
    </w:p>
    <w:p w14:paraId="67F2E584">
      <w:pPr>
        <w:spacing w:line="360" w:lineRule="auto"/>
        <w:ind w:firstLine="480" w:firstLineChars="200"/>
        <w:rPr>
          <w:rFonts w:hint="eastAsia" w:ascii="宋体" w:hAnsi="宋体" w:cs="宋体"/>
          <w:bCs/>
          <w:color w:val="auto"/>
          <w:sz w:val="24"/>
          <w:highlight w:val="none"/>
        </w:rPr>
      </w:pPr>
    </w:p>
    <w:p w14:paraId="1A5C18C1">
      <w:pPr>
        <w:spacing w:line="360" w:lineRule="auto"/>
        <w:ind w:firstLine="480" w:firstLineChars="200"/>
        <w:rPr>
          <w:rFonts w:hint="eastAsia" w:ascii="宋体" w:hAnsi="宋体" w:cs="宋体"/>
          <w:bCs/>
          <w:color w:val="auto"/>
          <w:sz w:val="24"/>
          <w:highlight w:val="none"/>
        </w:rPr>
      </w:pPr>
    </w:p>
    <w:p w14:paraId="01D72184">
      <w:pPr>
        <w:spacing w:line="360" w:lineRule="auto"/>
        <w:ind w:firstLine="480" w:firstLineChars="200"/>
        <w:rPr>
          <w:rFonts w:hint="eastAsia" w:ascii="宋体" w:hAnsi="宋体" w:cs="宋体"/>
          <w:bCs/>
          <w:color w:val="auto"/>
          <w:sz w:val="24"/>
          <w:highlight w:val="none"/>
        </w:rPr>
      </w:pPr>
    </w:p>
    <w:p w14:paraId="0B6857AB">
      <w:pPr>
        <w:spacing w:line="360" w:lineRule="auto"/>
        <w:ind w:firstLine="480" w:firstLineChars="200"/>
        <w:rPr>
          <w:rFonts w:hint="eastAsia" w:ascii="宋体" w:hAnsi="宋体" w:cs="宋体"/>
          <w:bCs/>
          <w:color w:val="auto"/>
          <w:sz w:val="24"/>
          <w:highlight w:val="none"/>
        </w:rPr>
      </w:pPr>
    </w:p>
    <w:p w14:paraId="045BB64D">
      <w:pPr>
        <w:spacing w:line="360" w:lineRule="auto"/>
        <w:ind w:firstLine="480" w:firstLineChars="200"/>
        <w:rPr>
          <w:rFonts w:hint="eastAsia" w:ascii="宋体" w:hAnsi="宋体" w:cs="宋体"/>
          <w:bCs/>
          <w:color w:val="auto"/>
          <w:sz w:val="24"/>
          <w:highlight w:val="none"/>
        </w:rPr>
      </w:pPr>
    </w:p>
    <w:p w14:paraId="090A2C39">
      <w:pPr>
        <w:spacing w:line="360" w:lineRule="auto"/>
        <w:ind w:firstLine="480" w:firstLineChars="200"/>
        <w:rPr>
          <w:rFonts w:hint="eastAsia" w:ascii="宋体" w:hAnsi="宋体" w:cs="宋体"/>
          <w:bCs/>
          <w:color w:val="auto"/>
          <w:sz w:val="24"/>
          <w:highlight w:val="none"/>
        </w:rPr>
      </w:pPr>
    </w:p>
    <w:p w14:paraId="0E16E316">
      <w:pPr>
        <w:spacing w:line="360" w:lineRule="auto"/>
        <w:ind w:firstLine="480" w:firstLineChars="200"/>
        <w:rPr>
          <w:rFonts w:hint="eastAsia" w:ascii="宋体" w:hAnsi="宋体" w:cs="宋体"/>
          <w:bCs/>
          <w:color w:val="auto"/>
          <w:sz w:val="24"/>
          <w:highlight w:val="none"/>
        </w:rPr>
      </w:pPr>
    </w:p>
    <w:p w14:paraId="2E9F15BE">
      <w:pPr>
        <w:spacing w:line="360" w:lineRule="auto"/>
        <w:ind w:firstLine="480" w:firstLineChars="200"/>
        <w:rPr>
          <w:rFonts w:hint="eastAsia" w:ascii="宋体" w:hAnsi="宋体" w:cs="宋体"/>
          <w:bCs/>
          <w:color w:val="auto"/>
          <w:sz w:val="24"/>
          <w:highlight w:val="none"/>
        </w:rPr>
      </w:pPr>
    </w:p>
    <w:p w14:paraId="16E03097">
      <w:pPr>
        <w:spacing w:line="360" w:lineRule="auto"/>
        <w:ind w:firstLine="480" w:firstLineChars="200"/>
        <w:rPr>
          <w:rFonts w:hint="eastAsia" w:ascii="宋体" w:hAnsi="宋体" w:cs="宋体"/>
          <w:bCs/>
          <w:color w:val="auto"/>
          <w:sz w:val="24"/>
          <w:highlight w:val="none"/>
        </w:rPr>
      </w:pPr>
    </w:p>
    <w:p w14:paraId="4BD034DA">
      <w:pPr>
        <w:spacing w:line="360" w:lineRule="auto"/>
        <w:ind w:firstLine="480" w:firstLineChars="200"/>
        <w:rPr>
          <w:rFonts w:hint="eastAsia" w:ascii="宋体" w:hAnsi="宋体" w:cs="宋体"/>
          <w:bCs/>
          <w:color w:val="auto"/>
          <w:sz w:val="24"/>
          <w:highlight w:val="none"/>
        </w:rPr>
      </w:pPr>
    </w:p>
    <w:p w14:paraId="431D4F5E">
      <w:pPr>
        <w:spacing w:line="360" w:lineRule="auto"/>
        <w:ind w:firstLine="480" w:firstLineChars="200"/>
        <w:rPr>
          <w:rFonts w:hint="eastAsia" w:ascii="宋体" w:hAnsi="宋体" w:cs="宋体"/>
          <w:bCs/>
          <w:color w:val="auto"/>
          <w:sz w:val="24"/>
          <w:highlight w:val="none"/>
        </w:rPr>
      </w:pPr>
    </w:p>
    <w:p w14:paraId="751930F2">
      <w:pPr>
        <w:spacing w:line="360" w:lineRule="auto"/>
        <w:ind w:firstLine="480" w:firstLineChars="200"/>
        <w:rPr>
          <w:rFonts w:hint="eastAsia" w:ascii="宋体" w:hAnsi="宋体" w:cs="宋体"/>
          <w:bCs/>
          <w:color w:val="auto"/>
          <w:sz w:val="24"/>
          <w:highlight w:val="none"/>
        </w:rPr>
      </w:pPr>
    </w:p>
    <w:p w14:paraId="42D84729">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第四章 评标方法和标准</w:t>
      </w:r>
    </w:p>
    <w:p w14:paraId="32BF28B1">
      <w:pPr>
        <w:spacing w:line="360" w:lineRule="auto"/>
        <w:jc w:val="left"/>
        <w:rPr>
          <w:rFonts w:hint="eastAsia" w:ascii="宋体" w:hAnsi="宋体"/>
          <w:sz w:val="24"/>
          <w:szCs w:val="24"/>
        </w:rPr>
      </w:pPr>
      <w:r>
        <w:rPr>
          <w:rFonts w:hint="eastAsia" w:ascii="宋体" w:hAnsi="宋体"/>
          <w:sz w:val="24"/>
          <w:szCs w:val="24"/>
        </w:rPr>
        <w:t>一、评分项目（总分100分）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14:paraId="1A67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0"/>
            <w:vAlign w:val="center"/>
          </w:tcPr>
          <w:p w14:paraId="5C7CBC49">
            <w:pPr>
              <w:jc w:val="center"/>
              <w:rPr>
                <w:rFonts w:hint="eastAsia" w:ascii="宋体" w:hAnsi="宋体"/>
                <w:sz w:val="24"/>
                <w:szCs w:val="24"/>
              </w:rPr>
            </w:pPr>
            <w:r>
              <w:rPr>
                <w:rFonts w:hint="eastAsia" w:ascii="宋体" w:hAnsi="宋体"/>
                <w:sz w:val="24"/>
                <w:szCs w:val="24"/>
              </w:rPr>
              <w:t>技术商务部分</w:t>
            </w:r>
          </w:p>
        </w:tc>
        <w:tc>
          <w:tcPr>
            <w:tcW w:w="5755" w:type="dxa"/>
            <w:noWrap w:val="0"/>
            <w:vAlign w:val="center"/>
          </w:tcPr>
          <w:p w14:paraId="44A72276">
            <w:pPr>
              <w:jc w:val="center"/>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0分</w:t>
            </w:r>
          </w:p>
        </w:tc>
      </w:tr>
      <w:tr w14:paraId="4886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0"/>
            <w:vAlign w:val="center"/>
          </w:tcPr>
          <w:p w14:paraId="2DA4C71D">
            <w:pPr>
              <w:jc w:val="center"/>
              <w:rPr>
                <w:rFonts w:hint="eastAsia" w:ascii="宋体" w:hAnsi="宋体"/>
                <w:sz w:val="24"/>
                <w:szCs w:val="24"/>
              </w:rPr>
            </w:pPr>
            <w:r>
              <w:rPr>
                <w:rFonts w:hint="eastAsia" w:ascii="宋体" w:hAnsi="宋体"/>
                <w:sz w:val="24"/>
                <w:szCs w:val="24"/>
              </w:rPr>
              <w:t>价格部分</w:t>
            </w:r>
          </w:p>
        </w:tc>
        <w:tc>
          <w:tcPr>
            <w:tcW w:w="5755" w:type="dxa"/>
            <w:noWrap w:val="0"/>
            <w:vAlign w:val="center"/>
          </w:tcPr>
          <w:p w14:paraId="476C0CD0">
            <w:pPr>
              <w:jc w:val="center"/>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0分</w:t>
            </w:r>
          </w:p>
        </w:tc>
      </w:tr>
    </w:tbl>
    <w:p w14:paraId="1CC7D347">
      <w:pPr>
        <w:rPr>
          <w:rFonts w:hint="eastAsia" w:ascii="宋体" w:hAnsi="宋体"/>
          <w:sz w:val="24"/>
          <w:szCs w:val="24"/>
        </w:rPr>
      </w:pPr>
    </w:p>
    <w:p w14:paraId="50C4DD9B">
      <w:pPr>
        <w:spacing w:line="360" w:lineRule="auto"/>
        <w:jc w:val="left"/>
        <w:rPr>
          <w:rFonts w:hint="eastAsia" w:ascii="宋体" w:hAnsi="宋体"/>
          <w:sz w:val="24"/>
          <w:szCs w:val="24"/>
        </w:rPr>
      </w:pPr>
      <w:r>
        <w:rPr>
          <w:rFonts w:hint="eastAsia" w:ascii="宋体" w:hAnsi="宋体"/>
          <w:sz w:val="24"/>
          <w:szCs w:val="24"/>
        </w:rPr>
        <w:t>二、评审内容：</w:t>
      </w:r>
    </w:p>
    <w:p w14:paraId="77F35CF3">
      <w:pPr>
        <w:spacing w:line="360" w:lineRule="auto"/>
        <w:jc w:val="left"/>
        <w:rPr>
          <w:rFonts w:hint="eastAsia" w:ascii="宋体" w:hAnsi="宋体"/>
          <w:sz w:val="24"/>
          <w:szCs w:val="24"/>
        </w:rPr>
      </w:pPr>
      <w:r>
        <w:rPr>
          <w:rFonts w:hint="eastAsia" w:ascii="宋体" w:hAnsi="宋体"/>
          <w:sz w:val="24"/>
          <w:szCs w:val="24"/>
        </w:rPr>
        <w:t>1、技术商务部分</w:t>
      </w:r>
    </w:p>
    <w:tbl>
      <w:tblPr>
        <w:tblStyle w:val="3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6"/>
        <w:gridCol w:w="1173"/>
        <w:gridCol w:w="754"/>
        <w:gridCol w:w="4693"/>
        <w:gridCol w:w="1307"/>
      </w:tblGrid>
      <w:tr w14:paraId="1C71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611325EE">
            <w:pPr>
              <w:jc w:val="center"/>
              <w:rPr>
                <w:rFonts w:ascii="宋体" w:hAnsi="宋体"/>
                <w:szCs w:val="21"/>
              </w:rPr>
            </w:pPr>
            <w:r>
              <w:rPr>
                <w:rFonts w:hint="eastAsia" w:ascii="宋体" w:hAnsi="宋体"/>
                <w:szCs w:val="21"/>
              </w:rPr>
              <w:t>评审内容</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BC91F25">
            <w:pPr>
              <w:jc w:val="center"/>
              <w:rPr>
                <w:szCs w:val="21"/>
              </w:rPr>
            </w:pPr>
            <w:r>
              <w:rPr>
                <w:rFonts w:hint="eastAsia" w:ascii="宋体" w:hAnsi="宋体"/>
                <w:szCs w:val="21"/>
              </w:rPr>
              <w:t>序号</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A10A888">
            <w:pPr>
              <w:jc w:val="center"/>
              <w:rPr>
                <w:rFonts w:ascii="宋体" w:hAnsi="宋体"/>
                <w:szCs w:val="21"/>
              </w:rPr>
            </w:pPr>
            <w:r>
              <w:rPr>
                <w:rFonts w:hint="eastAsia" w:ascii="宋体" w:hAnsi="宋体"/>
                <w:szCs w:val="21"/>
              </w:rPr>
              <w:t>评审项目</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7989AAB1">
            <w:pPr>
              <w:jc w:val="center"/>
              <w:rPr>
                <w:rFonts w:ascii="宋体" w:hAnsi="宋体"/>
                <w:szCs w:val="21"/>
              </w:rPr>
            </w:pPr>
            <w:r>
              <w:rPr>
                <w:rFonts w:hint="eastAsia" w:ascii="宋体" w:hAnsi="宋体"/>
                <w:szCs w:val="21"/>
              </w:rPr>
              <w:t>分值</w:t>
            </w:r>
          </w:p>
        </w:tc>
        <w:tc>
          <w:tcPr>
            <w:tcW w:w="4693" w:type="dxa"/>
            <w:tcBorders>
              <w:top w:val="single" w:color="auto" w:sz="4" w:space="0"/>
              <w:left w:val="single" w:color="auto" w:sz="4" w:space="0"/>
              <w:bottom w:val="single" w:color="auto" w:sz="4" w:space="0"/>
              <w:right w:val="single" w:color="auto" w:sz="4" w:space="0"/>
            </w:tcBorders>
            <w:noWrap w:val="0"/>
            <w:vAlign w:val="center"/>
          </w:tcPr>
          <w:p w14:paraId="093B173F">
            <w:pPr>
              <w:jc w:val="center"/>
              <w:rPr>
                <w:rFonts w:ascii="宋体" w:hAnsi="宋体"/>
                <w:szCs w:val="21"/>
              </w:rPr>
            </w:pPr>
            <w:r>
              <w:rPr>
                <w:rFonts w:hint="eastAsia" w:ascii="宋体" w:hAnsi="宋体"/>
                <w:szCs w:val="21"/>
              </w:rPr>
              <w:t>评审细则</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72503E1E">
            <w:pPr>
              <w:jc w:val="center"/>
              <w:rPr>
                <w:rFonts w:ascii="宋体" w:hAnsi="宋体"/>
                <w:szCs w:val="21"/>
              </w:rPr>
            </w:pPr>
            <w:r>
              <w:rPr>
                <w:rFonts w:hint="eastAsia" w:ascii="宋体" w:hAnsi="宋体"/>
                <w:szCs w:val="21"/>
                <w:lang w:eastAsia="zh-CN"/>
              </w:rPr>
              <w:t>投标文件</w:t>
            </w:r>
            <w:r>
              <w:rPr>
                <w:rFonts w:hint="eastAsia" w:ascii="宋体" w:hAnsi="宋体"/>
                <w:szCs w:val="21"/>
              </w:rPr>
              <w:t>对应页码</w:t>
            </w:r>
          </w:p>
        </w:tc>
      </w:tr>
      <w:tr w14:paraId="57EF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restart"/>
            <w:tcBorders>
              <w:top w:val="single" w:color="auto" w:sz="4" w:space="0"/>
              <w:left w:val="single" w:color="auto" w:sz="4" w:space="0"/>
              <w:right w:val="single" w:color="auto" w:sz="4" w:space="0"/>
            </w:tcBorders>
            <w:noWrap w:val="0"/>
            <w:vAlign w:val="center"/>
          </w:tcPr>
          <w:p w14:paraId="507895F2">
            <w:pPr>
              <w:jc w:val="center"/>
              <w:rPr>
                <w:rFonts w:ascii="宋体" w:hAnsi="宋体"/>
                <w:szCs w:val="21"/>
              </w:rPr>
            </w:pPr>
            <w:r>
              <w:rPr>
                <w:rFonts w:hint="eastAsia" w:ascii="宋体" w:hAnsi="宋体"/>
                <w:szCs w:val="21"/>
                <w:lang w:val="en-US" w:eastAsia="zh-CN"/>
              </w:rPr>
              <w:t>技术</w:t>
            </w:r>
            <w:r>
              <w:rPr>
                <w:rFonts w:hint="eastAsia" w:ascii="宋体" w:hAnsi="宋体"/>
                <w:szCs w:val="21"/>
              </w:rPr>
              <w:t>评审因素</w:t>
            </w:r>
            <w:r>
              <w:rPr>
                <w:rFonts w:hint="eastAsia" w:ascii="宋体" w:hAnsi="宋体"/>
                <w:szCs w:val="21"/>
                <w:lang w:val="en-US" w:eastAsia="zh-CN"/>
              </w:rPr>
              <w:t>60</w:t>
            </w:r>
            <w:r>
              <w:rPr>
                <w:rFonts w:hint="eastAsia" w:ascii="宋体" w:hAnsi="宋体"/>
                <w:szCs w:val="21"/>
              </w:rPr>
              <w:t>分</w:t>
            </w:r>
          </w:p>
        </w:tc>
        <w:tc>
          <w:tcPr>
            <w:tcW w:w="666" w:type="dxa"/>
            <w:tcBorders>
              <w:top w:val="single" w:color="auto" w:sz="4" w:space="0"/>
              <w:left w:val="single" w:color="auto" w:sz="4" w:space="0"/>
              <w:right w:val="single" w:color="auto" w:sz="4" w:space="0"/>
            </w:tcBorders>
            <w:noWrap w:val="0"/>
            <w:vAlign w:val="center"/>
          </w:tcPr>
          <w:p w14:paraId="23572F92">
            <w:pPr>
              <w:snapToGrid w:val="0"/>
              <w:spacing w:line="360" w:lineRule="auto"/>
              <w:jc w:val="center"/>
              <w:rPr>
                <w:rFonts w:ascii="宋体"/>
                <w:szCs w:val="21"/>
              </w:rPr>
            </w:pPr>
            <w:r>
              <w:rPr>
                <w:rFonts w:hint="eastAsia" w:ascii="宋体" w:hAnsi="宋体"/>
                <w:szCs w:val="21"/>
              </w:rPr>
              <w:t>1</w:t>
            </w:r>
          </w:p>
        </w:tc>
        <w:tc>
          <w:tcPr>
            <w:tcW w:w="1173" w:type="dxa"/>
            <w:tcBorders>
              <w:top w:val="single" w:color="auto" w:sz="4" w:space="0"/>
              <w:left w:val="single" w:color="auto" w:sz="4" w:space="0"/>
              <w:right w:val="single" w:color="auto" w:sz="4" w:space="0"/>
            </w:tcBorders>
            <w:noWrap w:val="0"/>
            <w:vAlign w:val="center"/>
          </w:tcPr>
          <w:p w14:paraId="00D5330C">
            <w:pPr>
              <w:tabs>
                <w:tab w:val="left" w:pos="420"/>
                <w:tab w:val="left" w:pos="840"/>
              </w:tabs>
              <w:spacing w:line="360" w:lineRule="auto"/>
              <w:jc w:val="center"/>
            </w:pPr>
            <w:r>
              <w:rPr>
                <w:rFonts w:ascii="宋体" w:hAnsi="宋体" w:cs="宋体"/>
                <w:szCs w:val="21"/>
                <w:lang w:val="zh-TW" w:eastAsia="zh-TW"/>
              </w:rPr>
              <w:t>对本项目的认识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11E77BB">
            <w:pPr>
              <w:tabs>
                <w:tab w:val="left" w:pos="420"/>
              </w:tabs>
              <w:spacing w:line="360" w:lineRule="auto"/>
              <w:jc w:val="center"/>
              <w:rPr>
                <w:rFonts w:hint="eastAsia"/>
              </w:rPr>
            </w:pPr>
            <w:r>
              <w:rPr>
                <w:rFonts w:hint="eastAsia" w:ascii="宋体" w:hAnsi="宋体" w:cs="宋体"/>
                <w:szCs w:val="21"/>
                <w:lang w:val="en-US" w:eastAsia="zh-CN"/>
              </w:rPr>
              <w:t>12</w:t>
            </w:r>
          </w:p>
        </w:tc>
        <w:tc>
          <w:tcPr>
            <w:tcW w:w="4693" w:type="dxa"/>
            <w:tcBorders>
              <w:top w:val="single" w:color="auto" w:sz="4" w:space="0"/>
              <w:left w:val="single" w:color="auto" w:sz="4" w:space="0"/>
              <w:bottom w:val="single" w:color="auto" w:sz="4" w:space="0"/>
              <w:right w:val="single" w:color="auto" w:sz="4" w:space="0"/>
            </w:tcBorders>
            <w:noWrap w:val="0"/>
            <w:vAlign w:val="center"/>
          </w:tcPr>
          <w:p w14:paraId="6B1E7FFD">
            <w:pPr>
              <w:numPr>
                <w:ilvl w:val="0"/>
                <w:numId w:val="0"/>
              </w:numPr>
              <w:tabs>
                <w:tab w:val="left" w:pos="0"/>
              </w:tabs>
              <w:kinsoku w:val="0"/>
              <w:overflowPunct w:val="0"/>
              <w:spacing w:line="276" w:lineRule="auto"/>
              <w:ind w:left="0" w:leftChars="0" w:right="113" w:rightChars="0" w:firstLine="0" w:firstLineChars="0"/>
              <w:jc w:val="left"/>
              <w:rPr>
                <w:rFonts w:hint="eastAsia"/>
                <w:sz w:val="22"/>
              </w:rPr>
            </w:pPr>
            <w:r>
              <w:rPr>
                <w:rFonts w:hint="eastAsia"/>
                <w:sz w:val="22"/>
              </w:rPr>
              <w:t>通过供应商对本项目主要工作内容的认识、工作重难点的分析等方面综合评审。（1）准确、深刻、有针对性得</w:t>
            </w:r>
            <w:r>
              <w:rPr>
                <w:rFonts w:hint="eastAsia"/>
                <w:sz w:val="22"/>
                <w:lang w:val="en-US" w:eastAsia="zh-CN"/>
              </w:rPr>
              <w:t>12</w:t>
            </w:r>
            <w:r>
              <w:rPr>
                <w:rFonts w:hint="eastAsia"/>
                <w:sz w:val="22"/>
              </w:rPr>
              <w:t>分；（2）较准确、深刻、有针对性的得</w:t>
            </w:r>
            <w:r>
              <w:rPr>
                <w:rFonts w:hint="eastAsia"/>
                <w:sz w:val="22"/>
                <w:lang w:val="en-US" w:eastAsia="zh-CN"/>
              </w:rPr>
              <w:t>8</w:t>
            </w:r>
            <w:r>
              <w:rPr>
                <w:rFonts w:hint="eastAsia"/>
                <w:sz w:val="22"/>
              </w:rPr>
              <w:t>分；（3）理解和分析一般的得</w:t>
            </w:r>
            <w:r>
              <w:rPr>
                <w:rFonts w:hint="eastAsia"/>
                <w:sz w:val="22"/>
                <w:lang w:val="en-US" w:eastAsia="zh-CN"/>
              </w:rPr>
              <w:t>6</w:t>
            </w:r>
            <w:r>
              <w:rPr>
                <w:rFonts w:hint="eastAsia"/>
                <w:sz w:val="22"/>
              </w:rPr>
              <w:t>分；（4）理解和分析较差的得</w:t>
            </w:r>
            <w:r>
              <w:rPr>
                <w:rFonts w:hint="eastAsia"/>
                <w:sz w:val="22"/>
                <w:lang w:val="en-US" w:eastAsia="zh-CN"/>
              </w:rPr>
              <w:t>4</w:t>
            </w:r>
            <w:r>
              <w:rPr>
                <w:rFonts w:hint="eastAsia"/>
                <w:sz w:val="22"/>
              </w:rPr>
              <w:t>分；（5）未编写的不得分。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68831920">
            <w:pPr>
              <w:jc w:val="center"/>
              <w:rPr>
                <w:rFonts w:ascii="宋体" w:hAnsi="宋体"/>
                <w:szCs w:val="21"/>
              </w:rPr>
            </w:pPr>
          </w:p>
        </w:tc>
      </w:tr>
      <w:tr w14:paraId="0FD9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left w:val="single" w:color="auto" w:sz="4" w:space="0"/>
              <w:right w:val="single" w:color="auto" w:sz="4" w:space="0"/>
            </w:tcBorders>
            <w:noWrap w:val="0"/>
            <w:vAlign w:val="center"/>
          </w:tcPr>
          <w:p w14:paraId="0D06C6D9">
            <w:pPr>
              <w:jc w:val="center"/>
              <w:rPr>
                <w:rFonts w:hint="eastAsia" w:ascii="宋体" w:hAnsi="宋体"/>
                <w:szCs w:val="21"/>
              </w:rPr>
            </w:pPr>
          </w:p>
        </w:tc>
        <w:tc>
          <w:tcPr>
            <w:tcW w:w="666" w:type="dxa"/>
            <w:tcBorders>
              <w:top w:val="single" w:color="auto" w:sz="4" w:space="0"/>
              <w:left w:val="single" w:color="auto" w:sz="4" w:space="0"/>
              <w:right w:val="single" w:color="auto" w:sz="4" w:space="0"/>
            </w:tcBorders>
            <w:noWrap w:val="0"/>
            <w:vAlign w:val="center"/>
          </w:tcPr>
          <w:p w14:paraId="23986D6E">
            <w:pPr>
              <w:snapToGrid w:val="0"/>
              <w:spacing w:line="360" w:lineRule="auto"/>
              <w:jc w:val="center"/>
              <w:rPr>
                <w:rFonts w:hint="eastAsia" w:ascii="宋体" w:hAnsi="宋体"/>
                <w:szCs w:val="21"/>
              </w:rPr>
            </w:pPr>
            <w:r>
              <w:rPr>
                <w:rFonts w:hint="eastAsia" w:ascii="宋体" w:hAnsi="宋体"/>
                <w:szCs w:val="21"/>
              </w:rPr>
              <w:t>2</w:t>
            </w:r>
          </w:p>
        </w:tc>
        <w:tc>
          <w:tcPr>
            <w:tcW w:w="1173" w:type="dxa"/>
            <w:tcBorders>
              <w:top w:val="single" w:color="auto" w:sz="4" w:space="0"/>
              <w:left w:val="single" w:color="auto" w:sz="4" w:space="0"/>
              <w:right w:val="single" w:color="auto" w:sz="4" w:space="0"/>
            </w:tcBorders>
            <w:noWrap w:val="0"/>
            <w:vAlign w:val="center"/>
          </w:tcPr>
          <w:p w14:paraId="625C0D78">
            <w:pPr>
              <w:snapToGrid w:val="0"/>
              <w:spacing w:line="360" w:lineRule="auto"/>
              <w:jc w:val="center"/>
            </w:pPr>
            <w:r>
              <w:rPr>
                <w:rFonts w:hint="eastAsia" w:ascii="宋体" w:hAnsi="宋体"/>
                <w:szCs w:val="21"/>
              </w:rPr>
              <w:t>技术方案</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5A4B341B">
            <w:pPr>
              <w:snapToGrid w:val="0"/>
              <w:spacing w:line="360" w:lineRule="auto"/>
              <w:jc w:val="center"/>
              <w:rPr>
                <w:rFonts w:hint="default"/>
                <w:lang w:val="en-US"/>
              </w:rPr>
            </w:pPr>
            <w:r>
              <w:rPr>
                <w:rFonts w:hint="eastAsia" w:ascii="宋体" w:hAnsi="宋体"/>
                <w:szCs w:val="21"/>
                <w:lang w:val="en-US" w:eastAsia="zh-CN"/>
              </w:rPr>
              <w:t>12</w:t>
            </w:r>
          </w:p>
        </w:tc>
        <w:tc>
          <w:tcPr>
            <w:tcW w:w="4693" w:type="dxa"/>
            <w:tcBorders>
              <w:top w:val="single" w:color="auto" w:sz="4" w:space="0"/>
              <w:left w:val="single" w:color="auto" w:sz="4" w:space="0"/>
              <w:bottom w:val="single" w:color="auto" w:sz="4" w:space="0"/>
              <w:right w:val="single" w:color="auto" w:sz="4" w:space="0"/>
            </w:tcBorders>
            <w:noWrap w:val="0"/>
            <w:vAlign w:val="top"/>
          </w:tcPr>
          <w:p w14:paraId="2388C9F7">
            <w:pPr>
              <w:numPr>
                <w:ilvl w:val="0"/>
                <w:numId w:val="0"/>
              </w:numPr>
              <w:tabs>
                <w:tab w:val="left" w:pos="0"/>
              </w:tabs>
              <w:kinsoku w:val="0"/>
              <w:overflowPunct w:val="0"/>
              <w:spacing w:line="276" w:lineRule="auto"/>
              <w:ind w:left="0" w:leftChars="0" w:right="113" w:rightChars="0" w:firstLine="0" w:firstLineChars="0"/>
              <w:jc w:val="left"/>
              <w:rPr>
                <w:rFonts w:hint="eastAsia"/>
                <w:sz w:val="22"/>
              </w:rPr>
            </w:pPr>
            <w:r>
              <w:rPr>
                <w:rFonts w:hint="eastAsia"/>
                <w:sz w:val="22"/>
              </w:rPr>
              <w:t>供应商对技术方案的明晰程度、符合性、合理性、可行性和操作性等方面的内容综合评审。（1）技术方案合理、科学、有针对性得</w:t>
            </w:r>
            <w:r>
              <w:rPr>
                <w:rFonts w:hint="eastAsia"/>
                <w:sz w:val="22"/>
                <w:lang w:val="en-US" w:eastAsia="zh-CN"/>
              </w:rPr>
              <w:t>12</w:t>
            </w:r>
            <w:r>
              <w:rPr>
                <w:rFonts w:hint="eastAsia"/>
                <w:sz w:val="22"/>
              </w:rPr>
              <w:t>分；（2）方案较合理、科学、有针对性的得</w:t>
            </w:r>
            <w:r>
              <w:rPr>
                <w:rFonts w:hint="eastAsia"/>
                <w:sz w:val="22"/>
                <w:lang w:val="en-US" w:eastAsia="zh-CN"/>
              </w:rPr>
              <w:t>8</w:t>
            </w:r>
            <w:r>
              <w:rPr>
                <w:rFonts w:hint="eastAsia"/>
                <w:sz w:val="22"/>
              </w:rPr>
              <w:t>分；（3）方案一般的得</w:t>
            </w:r>
            <w:r>
              <w:rPr>
                <w:rFonts w:hint="eastAsia"/>
                <w:sz w:val="22"/>
                <w:lang w:val="en-US" w:eastAsia="zh-CN"/>
              </w:rPr>
              <w:t>6</w:t>
            </w:r>
            <w:r>
              <w:rPr>
                <w:rFonts w:hint="eastAsia"/>
                <w:sz w:val="22"/>
              </w:rPr>
              <w:t>分；（4）方案较差的得</w:t>
            </w:r>
            <w:r>
              <w:rPr>
                <w:rFonts w:hint="eastAsia"/>
                <w:sz w:val="22"/>
                <w:lang w:val="en-US" w:eastAsia="zh-CN"/>
              </w:rPr>
              <w:t>4</w:t>
            </w:r>
            <w:r>
              <w:rPr>
                <w:rFonts w:hint="eastAsia"/>
                <w:sz w:val="22"/>
              </w:rPr>
              <w:t>分；（5）未编写的不得分。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05916009">
            <w:pPr>
              <w:jc w:val="center"/>
              <w:rPr>
                <w:rFonts w:ascii="宋体" w:hAnsi="宋体"/>
                <w:szCs w:val="21"/>
              </w:rPr>
            </w:pPr>
          </w:p>
        </w:tc>
      </w:tr>
      <w:tr w14:paraId="1079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left w:val="single" w:color="auto" w:sz="4" w:space="0"/>
              <w:right w:val="single" w:color="auto" w:sz="4" w:space="0"/>
            </w:tcBorders>
            <w:noWrap w:val="0"/>
            <w:vAlign w:val="center"/>
          </w:tcPr>
          <w:p w14:paraId="26384DCF">
            <w:pPr>
              <w:jc w:val="center"/>
              <w:rPr>
                <w:rFonts w:hint="eastAsia" w:ascii="宋体" w:hAnsi="宋体"/>
                <w:szCs w:val="21"/>
              </w:rPr>
            </w:pPr>
          </w:p>
        </w:tc>
        <w:tc>
          <w:tcPr>
            <w:tcW w:w="666" w:type="dxa"/>
            <w:tcBorders>
              <w:top w:val="single" w:color="auto" w:sz="4" w:space="0"/>
              <w:left w:val="single" w:color="auto" w:sz="4" w:space="0"/>
              <w:right w:val="single" w:color="auto" w:sz="4" w:space="0"/>
            </w:tcBorders>
            <w:noWrap w:val="0"/>
            <w:vAlign w:val="center"/>
          </w:tcPr>
          <w:p w14:paraId="7A8B8DB5">
            <w:pPr>
              <w:snapToGrid w:val="0"/>
              <w:spacing w:line="360" w:lineRule="auto"/>
              <w:jc w:val="center"/>
              <w:rPr>
                <w:rFonts w:ascii="宋体" w:hAnsi="宋体"/>
                <w:szCs w:val="21"/>
              </w:rPr>
            </w:pPr>
            <w:r>
              <w:rPr>
                <w:rFonts w:hint="eastAsia" w:ascii="宋体" w:hAnsi="宋体"/>
                <w:szCs w:val="21"/>
              </w:rPr>
              <w:t>3</w:t>
            </w:r>
          </w:p>
        </w:tc>
        <w:tc>
          <w:tcPr>
            <w:tcW w:w="1173" w:type="dxa"/>
            <w:tcBorders>
              <w:top w:val="single" w:color="auto" w:sz="4" w:space="0"/>
              <w:left w:val="single" w:color="auto" w:sz="4" w:space="0"/>
              <w:right w:val="single" w:color="auto" w:sz="4" w:space="0"/>
            </w:tcBorders>
            <w:noWrap w:val="0"/>
            <w:vAlign w:val="center"/>
          </w:tcPr>
          <w:p w14:paraId="0CE99DB9">
            <w:pPr>
              <w:snapToGrid w:val="0"/>
              <w:spacing w:line="360" w:lineRule="auto"/>
              <w:jc w:val="center"/>
            </w:pPr>
            <w:r>
              <w:rPr>
                <w:rFonts w:hint="eastAsia" w:ascii="宋体" w:hAnsi="宋体"/>
                <w:szCs w:val="21"/>
              </w:rPr>
              <w:t>进度计划</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0D96F446">
            <w:pPr>
              <w:snapToGrid w:val="0"/>
              <w:spacing w:line="360" w:lineRule="auto"/>
              <w:jc w:val="center"/>
              <w:rPr>
                <w:rFonts w:hint="eastAsia"/>
              </w:rPr>
            </w:pPr>
            <w:r>
              <w:rPr>
                <w:rFonts w:hint="eastAsia" w:ascii="宋体" w:hAnsi="宋体"/>
                <w:szCs w:val="21"/>
                <w:lang w:val="en-US" w:eastAsia="zh-CN"/>
              </w:rPr>
              <w:t>12</w:t>
            </w:r>
          </w:p>
        </w:tc>
        <w:tc>
          <w:tcPr>
            <w:tcW w:w="4693" w:type="dxa"/>
            <w:tcBorders>
              <w:top w:val="single" w:color="auto" w:sz="4" w:space="0"/>
              <w:left w:val="single" w:color="auto" w:sz="4" w:space="0"/>
              <w:bottom w:val="single" w:color="auto" w:sz="4" w:space="0"/>
              <w:right w:val="single" w:color="auto" w:sz="4" w:space="0"/>
            </w:tcBorders>
            <w:noWrap w:val="0"/>
            <w:vAlign w:val="top"/>
          </w:tcPr>
          <w:p w14:paraId="7D9F462E">
            <w:pPr>
              <w:numPr>
                <w:ilvl w:val="0"/>
                <w:numId w:val="0"/>
              </w:numPr>
              <w:tabs>
                <w:tab w:val="left" w:pos="0"/>
              </w:tabs>
              <w:kinsoku w:val="0"/>
              <w:overflowPunct w:val="0"/>
              <w:spacing w:line="276" w:lineRule="auto"/>
              <w:ind w:left="0" w:leftChars="0" w:right="113" w:rightChars="0" w:firstLine="0" w:firstLineChars="0"/>
              <w:jc w:val="left"/>
              <w:rPr>
                <w:rFonts w:hint="eastAsia"/>
                <w:sz w:val="22"/>
              </w:rPr>
            </w:pPr>
            <w:r>
              <w:rPr>
                <w:rFonts w:hint="eastAsia"/>
                <w:sz w:val="22"/>
              </w:rPr>
              <w:t>供应商能够按照采购文件关于成果报告提交时间完成且形成内容完整、科学可行、进度安排合理等方面综合评审。（1）进度计划描述清晰、合理可行的得</w:t>
            </w:r>
            <w:r>
              <w:rPr>
                <w:rFonts w:hint="eastAsia"/>
                <w:sz w:val="22"/>
                <w:lang w:val="en-US" w:eastAsia="zh-CN"/>
              </w:rPr>
              <w:t>12</w:t>
            </w:r>
            <w:r>
              <w:rPr>
                <w:rFonts w:hint="eastAsia"/>
                <w:sz w:val="22"/>
              </w:rPr>
              <w:t>分。（2）进度计划描述基本清晰、可行性一般的得</w:t>
            </w:r>
            <w:r>
              <w:rPr>
                <w:rFonts w:hint="eastAsia"/>
                <w:sz w:val="22"/>
                <w:lang w:val="en-US" w:eastAsia="zh-CN"/>
              </w:rPr>
              <w:t>8</w:t>
            </w:r>
            <w:r>
              <w:rPr>
                <w:rFonts w:hint="eastAsia"/>
                <w:sz w:val="22"/>
              </w:rPr>
              <w:t>分；（3）可行性较差的得</w:t>
            </w:r>
            <w:r>
              <w:rPr>
                <w:rFonts w:hint="eastAsia"/>
                <w:sz w:val="22"/>
                <w:lang w:val="en-US" w:eastAsia="zh-CN"/>
              </w:rPr>
              <w:t>6</w:t>
            </w:r>
            <w:r>
              <w:rPr>
                <w:rFonts w:hint="eastAsia"/>
                <w:sz w:val="22"/>
              </w:rPr>
              <w:t>分；（4）</w:t>
            </w:r>
            <w:r>
              <w:rPr>
                <w:rFonts w:hint="eastAsia"/>
                <w:sz w:val="22"/>
                <w:lang w:val="en-US" w:eastAsia="zh-CN"/>
              </w:rPr>
              <w:t>无计划的</w:t>
            </w:r>
            <w:r>
              <w:rPr>
                <w:rFonts w:hint="eastAsia"/>
                <w:sz w:val="22"/>
              </w:rPr>
              <w:t>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2D9B124A">
            <w:pPr>
              <w:jc w:val="center"/>
              <w:rPr>
                <w:rFonts w:ascii="宋体" w:hAnsi="宋体"/>
                <w:szCs w:val="21"/>
              </w:rPr>
            </w:pPr>
          </w:p>
        </w:tc>
      </w:tr>
      <w:tr w14:paraId="1B8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left w:val="single" w:color="auto" w:sz="4" w:space="0"/>
              <w:right w:val="single" w:color="auto" w:sz="4" w:space="0"/>
            </w:tcBorders>
            <w:noWrap w:val="0"/>
            <w:vAlign w:val="center"/>
          </w:tcPr>
          <w:p w14:paraId="46949BB2">
            <w:pPr>
              <w:jc w:val="center"/>
              <w:rPr>
                <w:rFonts w:hint="eastAsia" w:ascii="宋体" w:hAnsi="宋体"/>
                <w:szCs w:val="21"/>
              </w:rPr>
            </w:pPr>
          </w:p>
        </w:tc>
        <w:tc>
          <w:tcPr>
            <w:tcW w:w="666" w:type="dxa"/>
            <w:tcBorders>
              <w:top w:val="single" w:color="auto" w:sz="4" w:space="0"/>
              <w:left w:val="single" w:color="auto" w:sz="4" w:space="0"/>
              <w:right w:val="single" w:color="auto" w:sz="4" w:space="0"/>
            </w:tcBorders>
            <w:noWrap w:val="0"/>
            <w:vAlign w:val="center"/>
          </w:tcPr>
          <w:p w14:paraId="66D00DC3">
            <w:pPr>
              <w:snapToGrid w:val="0"/>
              <w:spacing w:line="360" w:lineRule="auto"/>
              <w:jc w:val="center"/>
              <w:rPr>
                <w:rFonts w:ascii="宋体" w:hAnsi="宋体"/>
                <w:szCs w:val="21"/>
              </w:rPr>
            </w:pPr>
            <w:r>
              <w:rPr>
                <w:rFonts w:hint="eastAsia" w:ascii="宋体" w:hAnsi="宋体"/>
                <w:szCs w:val="21"/>
              </w:rPr>
              <w:t>4</w:t>
            </w:r>
          </w:p>
        </w:tc>
        <w:tc>
          <w:tcPr>
            <w:tcW w:w="1173" w:type="dxa"/>
            <w:tcBorders>
              <w:top w:val="single" w:color="auto" w:sz="4" w:space="0"/>
              <w:left w:val="single" w:color="auto" w:sz="4" w:space="0"/>
              <w:right w:val="single" w:color="auto" w:sz="4" w:space="0"/>
            </w:tcBorders>
            <w:noWrap w:val="0"/>
            <w:vAlign w:val="center"/>
          </w:tcPr>
          <w:p w14:paraId="54F28AB8">
            <w:pPr>
              <w:snapToGrid w:val="0"/>
              <w:spacing w:line="360" w:lineRule="auto"/>
              <w:jc w:val="center"/>
            </w:pPr>
            <w:r>
              <w:rPr>
                <w:rFonts w:hint="eastAsia" w:ascii="宋体" w:hAnsi="宋体"/>
                <w:szCs w:val="21"/>
              </w:rPr>
              <w:t>质量控制措施</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6B92834B">
            <w:pPr>
              <w:snapToGrid w:val="0"/>
              <w:spacing w:line="360" w:lineRule="auto"/>
              <w:jc w:val="center"/>
              <w:rPr>
                <w:rFonts w:hint="eastAsia"/>
              </w:rPr>
            </w:pPr>
            <w:r>
              <w:rPr>
                <w:rFonts w:hint="eastAsia" w:ascii="宋体" w:hAnsi="宋体"/>
                <w:szCs w:val="21"/>
                <w:lang w:val="en-US" w:eastAsia="zh-CN"/>
              </w:rPr>
              <w:t>8</w:t>
            </w:r>
          </w:p>
        </w:tc>
        <w:tc>
          <w:tcPr>
            <w:tcW w:w="4693" w:type="dxa"/>
            <w:tcBorders>
              <w:top w:val="single" w:color="auto" w:sz="4" w:space="0"/>
              <w:left w:val="single" w:color="auto" w:sz="4" w:space="0"/>
              <w:bottom w:val="single" w:color="auto" w:sz="4" w:space="0"/>
              <w:right w:val="single" w:color="auto" w:sz="4" w:space="0"/>
            </w:tcBorders>
            <w:noWrap w:val="0"/>
            <w:vAlign w:val="top"/>
          </w:tcPr>
          <w:p w14:paraId="596254A3">
            <w:pPr>
              <w:numPr>
                <w:ilvl w:val="0"/>
                <w:numId w:val="0"/>
              </w:numPr>
              <w:tabs>
                <w:tab w:val="left" w:pos="0"/>
              </w:tabs>
              <w:kinsoku w:val="0"/>
              <w:overflowPunct w:val="0"/>
              <w:spacing w:line="276" w:lineRule="auto"/>
              <w:ind w:left="0" w:leftChars="0" w:right="113" w:rightChars="0" w:firstLine="0" w:firstLineChars="0"/>
              <w:jc w:val="left"/>
              <w:rPr>
                <w:rFonts w:hint="eastAsia"/>
                <w:sz w:val="22"/>
              </w:rPr>
            </w:pPr>
            <w:r>
              <w:rPr>
                <w:rFonts w:hint="eastAsia"/>
                <w:sz w:val="22"/>
              </w:rPr>
              <w:t>供应商的工作质量保证措施内容完整、合理可行等方面综合评审。（1）措施完整、有针对性得</w:t>
            </w:r>
            <w:r>
              <w:rPr>
                <w:rFonts w:hint="eastAsia"/>
                <w:sz w:val="22"/>
                <w:lang w:val="en-US" w:eastAsia="zh-CN"/>
              </w:rPr>
              <w:t>8</w:t>
            </w:r>
            <w:r>
              <w:rPr>
                <w:rFonts w:hint="eastAsia"/>
                <w:sz w:val="22"/>
              </w:rPr>
              <w:t>分；（2）措施一般得</w:t>
            </w:r>
            <w:r>
              <w:rPr>
                <w:rFonts w:hint="eastAsia"/>
                <w:sz w:val="22"/>
                <w:lang w:val="en-US" w:eastAsia="zh-CN"/>
              </w:rPr>
              <w:t>5</w:t>
            </w:r>
            <w:r>
              <w:rPr>
                <w:rFonts w:hint="eastAsia"/>
                <w:sz w:val="22"/>
              </w:rPr>
              <w:t>分；（3）质量控制措施较差得</w:t>
            </w:r>
            <w:r>
              <w:rPr>
                <w:rFonts w:hint="eastAsia"/>
                <w:sz w:val="22"/>
                <w:lang w:val="en-US" w:eastAsia="zh-CN"/>
              </w:rPr>
              <w:t>3</w:t>
            </w:r>
            <w:r>
              <w:rPr>
                <w:rFonts w:hint="eastAsia"/>
                <w:sz w:val="22"/>
              </w:rPr>
              <w:t>分；（4）无质量控制措施的不得分。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06D8355E">
            <w:pPr>
              <w:jc w:val="center"/>
              <w:rPr>
                <w:rFonts w:ascii="宋体" w:hAnsi="宋体"/>
                <w:szCs w:val="21"/>
              </w:rPr>
            </w:pPr>
          </w:p>
        </w:tc>
      </w:tr>
      <w:tr w14:paraId="302A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left w:val="single" w:color="auto" w:sz="4" w:space="0"/>
              <w:right w:val="single" w:color="auto" w:sz="4" w:space="0"/>
            </w:tcBorders>
            <w:noWrap w:val="0"/>
            <w:vAlign w:val="center"/>
          </w:tcPr>
          <w:p w14:paraId="192B68D3">
            <w:pPr>
              <w:jc w:val="center"/>
              <w:rPr>
                <w:rFonts w:hint="eastAsia" w:ascii="宋体" w:hAnsi="宋体"/>
                <w:color w:val="0000FF"/>
                <w:szCs w:val="21"/>
              </w:rPr>
            </w:pPr>
          </w:p>
        </w:tc>
        <w:tc>
          <w:tcPr>
            <w:tcW w:w="666" w:type="dxa"/>
            <w:tcBorders>
              <w:top w:val="single" w:color="auto" w:sz="4" w:space="0"/>
              <w:left w:val="single" w:color="auto" w:sz="4" w:space="0"/>
              <w:right w:val="single" w:color="auto" w:sz="4" w:space="0"/>
            </w:tcBorders>
            <w:noWrap w:val="0"/>
            <w:vAlign w:val="center"/>
          </w:tcPr>
          <w:p w14:paraId="43988AE5">
            <w:pPr>
              <w:snapToGrid w:val="0"/>
              <w:spacing w:line="360" w:lineRule="auto"/>
              <w:jc w:val="center"/>
              <w:rPr>
                <w:rFonts w:hint="eastAsia" w:ascii="宋体" w:hAnsi="宋体"/>
                <w:color w:val="auto"/>
                <w:szCs w:val="21"/>
              </w:rPr>
            </w:pPr>
            <w:r>
              <w:rPr>
                <w:rFonts w:hint="eastAsia" w:ascii="宋体" w:hAnsi="宋体"/>
                <w:color w:val="auto"/>
                <w:szCs w:val="21"/>
              </w:rPr>
              <w:t>5</w:t>
            </w:r>
          </w:p>
        </w:tc>
        <w:tc>
          <w:tcPr>
            <w:tcW w:w="1173" w:type="dxa"/>
            <w:tcBorders>
              <w:top w:val="single" w:color="auto" w:sz="4" w:space="0"/>
              <w:left w:val="single" w:color="auto" w:sz="4" w:space="0"/>
              <w:right w:val="single" w:color="auto" w:sz="4" w:space="0"/>
            </w:tcBorders>
            <w:noWrap w:val="0"/>
            <w:vAlign w:val="center"/>
          </w:tcPr>
          <w:p w14:paraId="4C506B7B">
            <w:pPr>
              <w:snapToGrid w:val="0"/>
              <w:spacing w:line="360" w:lineRule="auto"/>
              <w:jc w:val="center"/>
            </w:pPr>
            <w:r>
              <w:rPr>
                <w:rFonts w:hint="eastAsia" w:ascii="宋体" w:hAnsi="宋体"/>
                <w:szCs w:val="21"/>
              </w:rPr>
              <w:t>后续服务的安排及保证措施</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64371D0E">
            <w:pPr>
              <w:snapToGrid w:val="0"/>
              <w:spacing w:line="360" w:lineRule="auto"/>
              <w:jc w:val="center"/>
              <w:rPr>
                <w:rFonts w:hint="eastAsia"/>
              </w:rPr>
            </w:pPr>
            <w:r>
              <w:rPr>
                <w:rFonts w:hint="eastAsia" w:ascii="宋体" w:hAnsi="宋体"/>
                <w:szCs w:val="21"/>
                <w:lang w:val="en-US" w:eastAsia="zh-CN"/>
              </w:rPr>
              <w:t>8</w:t>
            </w:r>
          </w:p>
        </w:tc>
        <w:tc>
          <w:tcPr>
            <w:tcW w:w="4693" w:type="dxa"/>
            <w:tcBorders>
              <w:top w:val="single" w:color="auto" w:sz="4" w:space="0"/>
              <w:left w:val="single" w:color="auto" w:sz="4" w:space="0"/>
              <w:bottom w:val="single" w:color="auto" w:sz="4" w:space="0"/>
              <w:right w:val="single" w:color="auto" w:sz="4" w:space="0"/>
            </w:tcBorders>
            <w:noWrap w:val="0"/>
            <w:vAlign w:val="top"/>
          </w:tcPr>
          <w:p w14:paraId="154257BA">
            <w:pPr>
              <w:numPr>
                <w:ilvl w:val="0"/>
                <w:numId w:val="0"/>
              </w:numPr>
              <w:tabs>
                <w:tab w:val="left" w:pos="0"/>
              </w:tabs>
              <w:kinsoku w:val="0"/>
              <w:overflowPunct w:val="0"/>
              <w:spacing w:line="276" w:lineRule="auto"/>
              <w:ind w:left="0" w:leftChars="0" w:right="113" w:rightChars="0" w:firstLine="0" w:firstLineChars="0"/>
              <w:jc w:val="left"/>
              <w:rPr>
                <w:rFonts w:hint="eastAsia"/>
                <w:sz w:val="22"/>
              </w:rPr>
            </w:pPr>
            <w:r>
              <w:rPr>
                <w:rFonts w:hint="eastAsia"/>
                <w:sz w:val="22"/>
              </w:rPr>
              <w:t>供应商投入的后续服务的内容以及后续服务承诺等方面综合评审。（1）后续服务内容及后续服务承诺具体、合理、切实可行的，得</w:t>
            </w:r>
            <w:r>
              <w:rPr>
                <w:rFonts w:hint="eastAsia"/>
                <w:sz w:val="22"/>
                <w:lang w:val="en-US" w:eastAsia="zh-CN"/>
              </w:rPr>
              <w:t>8</w:t>
            </w:r>
            <w:r>
              <w:rPr>
                <w:rFonts w:hint="eastAsia"/>
                <w:sz w:val="22"/>
              </w:rPr>
              <w:t>分；（2）后续服务内容及后续服务承诺一般的，得</w:t>
            </w:r>
            <w:r>
              <w:rPr>
                <w:rFonts w:hint="eastAsia"/>
                <w:sz w:val="22"/>
                <w:lang w:val="en-US" w:eastAsia="zh-CN"/>
              </w:rPr>
              <w:t>5</w:t>
            </w:r>
            <w:r>
              <w:rPr>
                <w:rFonts w:hint="eastAsia"/>
                <w:sz w:val="22"/>
              </w:rPr>
              <w:t>分；（3）后续服务内容及后续服务承诺</w:t>
            </w:r>
            <w:r>
              <w:rPr>
                <w:rFonts w:hint="eastAsia"/>
                <w:sz w:val="22"/>
                <w:lang w:val="en-US" w:eastAsia="zh-CN"/>
              </w:rPr>
              <w:t>较差</w:t>
            </w:r>
            <w:r>
              <w:rPr>
                <w:rFonts w:hint="eastAsia"/>
                <w:sz w:val="22"/>
              </w:rPr>
              <w:t>的，得</w:t>
            </w:r>
            <w:r>
              <w:rPr>
                <w:rFonts w:hint="eastAsia"/>
                <w:sz w:val="22"/>
                <w:lang w:val="en-US" w:eastAsia="zh-CN"/>
              </w:rPr>
              <w:t>3</w:t>
            </w:r>
            <w:r>
              <w:rPr>
                <w:rFonts w:hint="eastAsia"/>
                <w:sz w:val="22"/>
              </w:rPr>
              <w:t>分；（4）</w:t>
            </w:r>
            <w:r>
              <w:rPr>
                <w:rFonts w:hint="eastAsia"/>
                <w:sz w:val="22"/>
                <w:lang w:val="en-US" w:eastAsia="zh-CN"/>
              </w:rPr>
              <w:t>无后续服务的安排及保证措施的，</w:t>
            </w:r>
            <w:r>
              <w:rPr>
                <w:rFonts w:hint="eastAsia"/>
                <w:sz w:val="22"/>
              </w:rPr>
              <w:t>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5C8BD29E">
            <w:pPr>
              <w:jc w:val="center"/>
              <w:rPr>
                <w:rFonts w:ascii="宋体" w:hAnsi="宋体"/>
                <w:szCs w:val="21"/>
              </w:rPr>
            </w:pPr>
          </w:p>
        </w:tc>
      </w:tr>
      <w:tr w14:paraId="3C0E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66" w:type="dxa"/>
            <w:vMerge w:val="continue"/>
            <w:tcBorders>
              <w:left w:val="single" w:color="auto" w:sz="4" w:space="0"/>
              <w:right w:val="single" w:color="auto" w:sz="4" w:space="0"/>
            </w:tcBorders>
            <w:noWrap w:val="0"/>
            <w:vAlign w:val="center"/>
          </w:tcPr>
          <w:p w14:paraId="666B3CE3">
            <w:pPr>
              <w:jc w:val="center"/>
              <w:rPr>
                <w:rFonts w:hint="eastAsia" w:ascii="宋体" w:hAnsi="宋体"/>
                <w:color w:val="0000FF"/>
                <w:szCs w:val="21"/>
              </w:rPr>
            </w:pPr>
          </w:p>
        </w:tc>
        <w:tc>
          <w:tcPr>
            <w:tcW w:w="666" w:type="dxa"/>
            <w:tcBorders>
              <w:top w:val="single" w:color="auto" w:sz="4" w:space="0"/>
              <w:left w:val="single" w:color="auto" w:sz="4" w:space="0"/>
              <w:right w:val="single" w:color="auto" w:sz="4" w:space="0"/>
            </w:tcBorders>
            <w:noWrap w:val="0"/>
            <w:vAlign w:val="center"/>
          </w:tcPr>
          <w:p w14:paraId="532171D8">
            <w:pPr>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1173" w:type="dxa"/>
            <w:tcBorders>
              <w:top w:val="single" w:color="auto" w:sz="4" w:space="0"/>
              <w:left w:val="single" w:color="auto" w:sz="4" w:space="0"/>
              <w:right w:val="single" w:color="auto" w:sz="4" w:space="0"/>
            </w:tcBorders>
            <w:noWrap w:val="0"/>
            <w:vAlign w:val="center"/>
          </w:tcPr>
          <w:p w14:paraId="738759C4">
            <w:pPr>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企业实力</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5981EEC9">
            <w:pPr>
              <w:snapToGrid w:val="0"/>
              <w:spacing w:line="360" w:lineRule="auto"/>
              <w:jc w:val="center"/>
              <w:rPr>
                <w:rFonts w:hint="default" w:ascii="宋体" w:hAnsi="宋体"/>
                <w:szCs w:val="21"/>
                <w:lang w:val="en-US" w:eastAsia="zh-CN"/>
              </w:rPr>
            </w:pPr>
            <w:r>
              <w:rPr>
                <w:rFonts w:hint="eastAsia" w:ascii="宋体" w:hAnsi="宋体"/>
                <w:szCs w:val="21"/>
                <w:lang w:val="en-US" w:eastAsia="zh-CN"/>
              </w:rPr>
              <w:t>8</w:t>
            </w:r>
          </w:p>
        </w:tc>
        <w:tc>
          <w:tcPr>
            <w:tcW w:w="4693" w:type="dxa"/>
            <w:tcBorders>
              <w:top w:val="single" w:color="auto" w:sz="4" w:space="0"/>
              <w:left w:val="single" w:color="auto" w:sz="4" w:space="0"/>
              <w:bottom w:val="single" w:color="auto" w:sz="4" w:space="0"/>
              <w:right w:val="single" w:color="auto" w:sz="4" w:space="0"/>
            </w:tcBorders>
            <w:noWrap w:val="0"/>
            <w:vAlign w:val="top"/>
          </w:tcPr>
          <w:p w14:paraId="21132707">
            <w:pPr>
              <w:numPr>
                <w:ilvl w:val="0"/>
                <w:numId w:val="0"/>
              </w:numPr>
              <w:tabs>
                <w:tab w:val="left" w:pos="0"/>
              </w:tabs>
              <w:kinsoku w:val="0"/>
              <w:overflowPunct w:val="0"/>
              <w:spacing w:line="276" w:lineRule="auto"/>
              <w:ind w:left="0" w:leftChars="0" w:right="113" w:rightChars="0" w:firstLine="0" w:firstLineChars="0"/>
              <w:jc w:val="left"/>
              <w:rPr>
                <w:sz w:val="22"/>
              </w:rPr>
            </w:pPr>
            <w:r>
              <w:rPr>
                <w:rFonts w:ascii="Times New Roman" w:hAnsi="Times New Roman" w:eastAsia="宋体" w:cs="Times New Roman"/>
                <w:kern w:val="2"/>
                <w:sz w:val="22"/>
                <w:lang w:val="en-US" w:eastAsia="zh-CN" w:bidi="ar-SA"/>
              </w:rPr>
              <w:t>1）</w:t>
            </w:r>
            <w:r>
              <w:rPr>
                <w:sz w:val="22"/>
              </w:rPr>
              <w:t>供应商具有</w:t>
            </w:r>
            <w:r>
              <w:rPr>
                <w:rFonts w:hint="eastAsia"/>
                <w:sz w:val="22"/>
                <w:lang w:val="en-US" w:eastAsia="zh-CN"/>
              </w:rPr>
              <w:t>中国工程咨询协会</w:t>
            </w:r>
            <w:r>
              <w:rPr>
                <w:sz w:val="22"/>
              </w:rPr>
              <w:t>颁发的</w:t>
            </w:r>
            <w:r>
              <w:rPr>
                <w:rFonts w:hint="eastAsia"/>
                <w:sz w:val="22"/>
              </w:rPr>
              <w:t>工程咨询单位资信证书甲级资质</w:t>
            </w:r>
            <w:r>
              <w:rPr>
                <w:rFonts w:hint="eastAsia"/>
                <w:sz w:val="22"/>
                <w:lang w:eastAsia="zh-CN"/>
              </w:rPr>
              <w:t>（</w:t>
            </w:r>
            <w:r>
              <w:rPr>
                <w:rFonts w:hint="eastAsia"/>
                <w:sz w:val="22"/>
                <w:lang w:val="en-US" w:eastAsia="zh-CN"/>
              </w:rPr>
              <w:t>生态建设和环境工程</w:t>
            </w:r>
            <w:r>
              <w:rPr>
                <w:rFonts w:hint="eastAsia"/>
                <w:sz w:val="22"/>
                <w:lang w:eastAsia="zh-CN"/>
              </w:rPr>
              <w:t>）</w:t>
            </w:r>
            <w:r>
              <w:rPr>
                <w:sz w:val="22"/>
              </w:rPr>
              <w:t>的，得</w:t>
            </w:r>
            <w:r>
              <w:rPr>
                <w:rFonts w:hint="eastAsia"/>
                <w:sz w:val="22"/>
                <w:lang w:val="en-US" w:eastAsia="zh-CN"/>
              </w:rPr>
              <w:t>4</w:t>
            </w:r>
            <w:r>
              <w:rPr>
                <w:sz w:val="22"/>
              </w:rPr>
              <w:t>分</w:t>
            </w:r>
            <w:r>
              <w:rPr>
                <w:rFonts w:hint="eastAsia"/>
                <w:sz w:val="22"/>
              </w:rPr>
              <w:t>；</w:t>
            </w:r>
            <w:r>
              <w:rPr>
                <w:sz w:val="22"/>
              </w:rPr>
              <w:t>具有</w:t>
            </w:r>
            <w:r>
              <w:rPr>
                <w:rFonts w:hint="eastAsia"/>
                <w:sz w:val="22"/>
              </w:rPr>
              <w:t>乙级资质</w:t>
            </w:r>
            <w:r>
              <w:rPr>
                <w:rFonts w:hint="eastAsia"/>
                <w:sz w:val="22"/>
                <w:lang w:eastAsia="zh-CN"/>
              </w:rPr>
              <w:t>（</w:t>
            </w:r>
            <w:r>
              <w:rPr>
                <w:rFonts w:hint="eastAsia"/>
                <w:sz w:val="22"/>
                <w:lang w:val="en-US" w:eastAsia="zh-CN"/>
              </w:rPr>
              <w:t>生态建设和环境工程</w:t>
            </w:r>
            <w:r>
              <w:rPr>
                <w:rFonts w:hint="eastAsia"/>
                <w:sz w:val="22"/>
                <w:lang w:eastAsia="zh-CN"/>
              </w:rPr>
              <w:t>）</w:t>
            </w:r>
            <w:r>
              <w:rPr>
                <w:rFonts w:hint="eastAsia"/>
                <w:sz w:val="22"/>
              </w:rPr>
              <w:t>的，得2分</w:t>
            </w:r>
            <w:r>
              <w:rPr>
                <w:sz w:val="22"/>
              </w:rPr>
              <w:t>。</w:t>
            </w:r>
          </w:p>
          <w:p w14:paraId="566DB165">
            <w:pPr>
              <w:kinsoku w:val="0"/>
              <w:overflowPunct w:val="0"/>
              <w:spacing w:line="276" w:lineRule="auto"/>
              <w:ind w:right="113"/>
              <w:jc w:val="left"/>
              <w:rPr>
                <w:sz w:val="22"/>
              </w:rPr>
            </w:pPr>
            <w:r>
              <w:rPr>
                <w:rFonts w:ascii="Times New Roman" w:hAnsi="Times New Roman" w:eastAsia="宋体" w:cs="Times New Roman"/>
                <w:kern w:val="2"/>
                <w:sz w:val="22"/>
                <w:lang w:val="en-US" w:eastAsia="zh-CN" w:bidi="ar-SA"/>
              </w:rPr>
              <w:t>2）</w:t>
            </w:r>
            <w:r>
              <w:rPr>
                <w:sz w:val="22"/>
              </w:rPr>
              <w:t>供应商具备有效期内ISO9001质量管理体系认证证书、ISO14001环境管理体系认证证书、职业健康安全管理体系认证证书</w:t>
            </w:r>
            <w:r>
              <w:rPr>
                <w:rFonts w:hint="eastAsia"/>
                <w:sz w:val="22"/>
              </w:rPr>
              <w:t>、知识产权管理体系</w:t>
            </w:r>
            <w:r>
              <w:rPr>
                <w:rFonts w:hint="eastAsia"/>
                <w:sz w:val="22"/>
                <w:lang w:eastAsia="zh-CN"/>
              </w:rPr>
              <w:t>认证</w:t>
            </w:r>
            <w:r>
              <w:rPr>
                <w:sz w:val="22"/>
              </w:rPr>
              <w:t>的，有1项得1分，最高得</w:t>
            </w:r>
            <w:r>
              <w:rPr>
                <w:rFonts w:hint="eastAsia"/>
                <w:sz w:val="22"/>
                <w:lang w:val="en-US" w:eastAsia="zh-CN"/>
              </w:rPr>
              <w:t>4</w:t>
            </w:r>
            <w:r>
              <w:rPr>
                <w:sz w:val="22"/>
              </w:rPr>
              <w:t>分。</w:t>
            </w:r>
          </w:p>
          <w:p w14:paraId="571D59AF">
            <w:pPr>
              <w:snapToGrid w:val="0"/>
              <w:spacing w:line="360" w:lineRule="auto"/>
              <w:rPr>
                <w:rFonts w:hint="eastAsia" w:ascii="宋体" w:hAnsi="宋体"/>
                <w:szCs w:val="21"/>
              </w:rPr>
            </w:pPr>
            <w:r>
              <w:rPr>
                <w:sz w:val="22"/>
              </w:rPr>
              <w:t>（</w:t>
            </w:r>
            <w:r>
              <w:rPr>
                <w:rFonts w:hint="eastAsia"/>
                <w:sz w:val="22"/>
                <w:lang w:eastAsia="zh-CN"/>
              </w:rPr>
              <w:t>投标文件</w:t>
            </w:r>
            <w:r>
              <w:rPr>
                <w:sz w:val="22"/>
              </w:rPr>
              <w:t>中提供证书或相关证明资料复印件并加盖公章，不提供不得分。）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118C9F33">
            <w:pPr>
              <w:jc w:val="center"/>
              <w:rPr>
                <w:rFonts w:ascii="宋体" w:hAnsi="宋体"/>
                <w:szCs w:val="21"/>
              </w:rPr>
            </w:pPr>
          </w:p>
        </w:tc>
      </w:tr>
      <w:tr w14:paraId="1F15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666" w:type="dxa"/>
            <w:vMerge w:val="restart"/>
            <w:tcBorders>
              <w:top w:val="single" w:color="auto" w:sz="4" w:space="0"/>
              <w:left w:val="single" w:color="auto" w:sz="4" w:space="0"/>
              <w:right w:val="single" w:color="auto" w:sz="4" w:space="0"/>
            </w:tcBorders>
            <w:noWrap w:val="0"/>
            <w:vAlign w:val="center"/>
          </w:tcPr>
          <w:p w14:paraId="0933676D">
            <w:pPr>
              <w:jc w:val="center"/>
              <w:rPr>
                <w:rFonts w:hint="eastAsia" w:ascii="宋体" w:hAnsi="宋体"/>
                <w:szCs w:val="21"/>
              </w:rPr>
            </w:pPr>
            <w:r>
              <w:rPr>
                <w:rFonts w:hint="eastAsia" w:ascii="宋体" w:hAnsi="宋体"/>
                <w:szCs w:val="21"/>
                <w:lang w:val="en-US" w:eastAsia="zh-CN"/>
              </w:rPr>
              <w:t>商务</w:t>
            </w:r>
            <w:r>
              <w:rPr>
                <w:rFonts w:hint="eastAsia" w:ascii="宋体" w:hAnsi="宋体"/>
                <w:szCs w:val="21"/>
              </w:rPr>
              <w:t>评审因素</w:t>
            </w:r>
          </w:p>
          <w:p w14:paraId="08BD8B97">
            <w:pPr>
              <w:jc w:val="center"/>
              <w:rPr>
                <w:rFonts w:ascii="宋体" w:hAnsi="宋体"/>
                <w:szCs w:val="21"/>
              </w:rPr>
            </w:pPr>
            <w:r>
              <w:rPr>
                <w:rFonts w:hint="eastAsia" w:ascii="宋体" w:hAnsi="宋体"/>
                <w:szCs w:val="21"/>
                <w:lang w:val="en-US" w:eastAsia="zh-CN"/>
              </w:rPr>
              <w:t>20</w:t>
            </w:r>
            <w:r>
              <w:rPr>
                <w:rFonts w:hint="eastAsia" w:ascii="宋体" w:hAnsi="宋体"/>
                <w:szCs w:val="21"/>
              </w:rPr>
              <w:t>分</w:t>
            </w:r>
          </w:p>
        </w:tc>
        <w:tc>
          <w:tcPr>
            <w:tcW w:w="666" w:type="dxa"/>
            <w:tcBorders>
              <w:top w:val="single" w:color="auto" w:sz="4" w:space="0"/>
              <w:left w:val="single" w:color="auto" w:sz="4" w:space="0"/>
              <w:right w:val="single" w:color="auto" w:sz="4" w:space="0"/>
            </w:tcBorders>
            <w:noWrap w:val="0"/>
            <w:vAlign w:val="center"/>
          </w:tcPr>
          <w:p w14:paraId="0442A383">
            <w:pPr>
              <w:jc w:val="center"/>
              <w:rPr>
                <w:rFonts w:ascii="宋体"/>
                <w:szCs w:val="21"/>
              </w:rPr>
            </w:pPr>
            <w:r>
              <w:rPr>
                <w:rFonts w:hint="eastAsia" w:ascii="宋体" w:hAnsi="宋体"/>
                <w:szCs w:val="21"/>
              </w:rPr>
              <w:t>1</w:t>
            </w:r>
          </w:p>
        </w:tc>
        <w:tc>
          <w:tcPr>
            <w:tcW w:w="1173" w:type="dxa"/>
            <w:tcBorders>
              <w:top w:val="single" w:color="auto" w:sz="4" w:space="0"/>
              <w:left w:val="single" w:color="auto" w:sz="4" w:space="0"/>
              <w:right w:val="single" w:color="auto" w:sz="4" w:space="0"/>
            </w:tcBorders>
            <w:shd w:val="clear" w:color="auto" w:fill="auto"/>
            <w:noWrap w:val="0"/>
            <w:vAlign w:val="center"/>
          </w:tcPr>
          <w:p w14:paraId="6151B914">
            <w:pPr>
              <w:autoSpaceDE w:val="0"/>
              <w:spacing w:line="360" w:lineRule="exact"/>
              <w:jc w:val="center"/>
              <w:rPr>
                <w:rFonts w:ascii="Times New Roman" w:hAnsi="Times New Roman" w:eastAsia="宋体" w:cs="Times New Roman"/>
                <w:kern w:val="2"/>
                <w:sz w:val="21"/>
                <w:lang w:val="en-US" w:eastAsia="zh-CN" w:bidi="ar-SA"/>
              </w:rPr>
            </w:pPr>
            <w:r>
              <w:rPr>
                <w:sz w:val="22"/>
              </w:rPr>
              <w:t>项目负责人配备</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B49E86">
            <w:pPr>
              <w:autoSpaceDE w:val="0"/>
              <w:spacing w:line="360" w:lineRule="exact"/>
              <w:jc w:val="center"/>
              <w:rPr>
                <w:rFonts w:hint="eastAsia" w:ascii="Times New Roman" w:hAnsi="Times New Roman" w:eastAsia="宋体" w:cs="Times New Roman"/>
                <w:kern w:val="2"/>
                <w:sz w:val="21"/>
                <w:lang w:val="en-US" w:eastAsia="zh-CN" w:bidi="ar-SA"/>
              </w:rPr>
            </w:pPr>
            <w:r>
              <w:rPr>
                <w:rFonts w:hint="eastAsia"/>
                <w:kern w:val="0"/>
                <w:szCs w:val="21"/>
                <w:lang w:val="en-US" w:eastAsia="zh-CN"/>
              </w:rPr>
              <w:t>6</w:t>
            </w:r>
          </w:p>
        </w:tc>
        <w:tc>
          <w:tcPr>
            <w:tcW w:w="4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34A11">
            <w:pPr>
              <w:kinsoku w:val="0"/>
              <w:overflowPunct w:val="0"/>
              <w:spacing w:line="276" w:lineRule="auto"/>
              <w:ind w:right="113"/>
              <w:jc w:val="left"/>
            </w:pPr>
            <w:r>
              <w:rPr>
                <w:sz w:val="22"/>
              </w:rPr>
              <w:t>拟派项目负责人具有环保</w:t>
            </w:r>
            <w:r>
              <w:rPr>
                <w:rFonts w:hint="eastAsia"/>
                <w:sz w:val="22"/>
                <w:lang w:val="en-US" w:eastAsia="zh-CN"/>
              </w:rPr>
              <w:t>类</w:t>
            </w:r>
            <w:r>
              <w:rPr>
                <w:sz w:val="22"/>
              </w:rPr>
              <w:t>高级</w:t>
            </w:r>
            <w:r>
              <w:rPr>
                <w:rFonts w:hint="eastAsia"/>
                <w:sz w:val="22"/>
              </w:rPr>
              <w:t>及以上</w:t>
            </w:r>
            <w:r>
              <w:rPr>
                <w:sz w:val="22"/>
              </w:rPr>
              <w:t>工程师职称，得</w:t>
            </w:r>
            <w:r>
              <w:rPr>
                <w:rFonts w:hint="eastAsia"/>
                <w:sz w:val="22"/>
                <w:lang w:val="en-US" w:eastAsia="zh-CN"/>
              </w:rPr>
              <w:t>3</w:t>
            </w:r>
            <w:r>
              <w:rPr>
                <w:sz w:val="22"/>
              </w:rPr>
              <w:t>分</w:t>
            </w:r>
            <w:r>
              <w:rPr>
                <w:rFonts w:hint="eastAsia"/>
                <w:sz w:val="22"/>
              </w:rPr>
              <w:t>；</w:t>
            </w:r>
            <w:r>
              <w:rPr>
                <w:rFonts w:hint="eastAsia"/>
                <w:sz w:val="22"/>
                <w:lang w:val="en-US" w:eastAsia="zh-CN"/>
              </w:rPr>
              <w:t>具有咨询工程师证书的</w:t>
            </w:r>
            <w:r>
              <w:rPr>
                <w:rFonts w:hint="eastAsia"/>
                <w:sz w:val="22"/>
              </w:rPr>
              <w:t>，得</w:t>
            </w:r>
            <w:r>
              <w:rPr>
                <w:rFonts w:hint="eastAsia"/>
                <w:sz w:val="22"/>
                <w:lang w:val="en-US" w:eastAsia="zh-CN"/>
              </w:rPr>
              <w:t>3</w:t>
            </w:r>
            <w:r>
              <w:rPr>
                <w:rFonts w:hint="eastAsia"/>
                <w:sz w:val="22"/>
              </w:rPr>
              <w:t>分；最高得6分。</w:t>
            </w:r>
          </w:p>
          <w:p w14:paraId="5DC6A975">
            <w:pPr>
              <w:kinsoku w:val="0"/>
              <w:overflowPunct w:val="0"/>
              <w:spacing w:line="276" w:lineRule="auto"/>
              <w:ind w:right="113" w:rightChars="0"/>
              <w:jc w:val="left"/>
              <w:rPr>
                <w:rFonts w:ascii="Times New Roman" w:hAnsi="Times New Roman" w:eastAsia="宋体" w:cs="Times New Roman"/>
                <w:kern w:val="2"/>
                <w:sz w:val="21"/>
                <w:lang w:val="en-US" w:eastAsia="zh-CN" w:bidi="ar-SA"/>
              </w:rPr>
            </w:pPr>
            <w:r>
              <w:rPr>
                <w:sz w:val="22"/>
              </w:rPr>
              <w:t>（提供相应的人员职称证书及相应证明材料复印件加盖公章进入</w:t>
            </w:r>
            <w:r>
              <w:rPr>
                <w:rFonts w:hint="eastAsia"/>
                <w:sz w:val="22"/>
                <w:lang w:eastAsia="zh-CN"/>
              </w:rPr>
              <w:t>投标文件</w:t>
            </w:r>
            <w:r>
              <w:rPr>
                <w:sz w:val="22"/>
              </w:rPr>
              <w:t>。项目负责人需为本单位在职</w:t>
            </w:r>
            <w:r>
              <w:rPr>
                <w:sz w:val="22"/>
                <w:highlight w:val="none"/>
              </w:rPr>
              <w:t>员工，并依法缴纳社保，</w:t>
            </w:r>
            <w:r>
              <w:rPr>
                <w:rFonts w:hint="eastAsia"/>
                <w:sz w:val="22"/>
                <w:highlight w:val="none"/>
              </w:rPr>
              <w:t>须出具近</w:t>
            </w:r>
            <w:r>
              <w:rPr>
                <w:rFonts w:hint="eastAsia"/>
                <w:sz w:val="22"/>
                <w:highlight w:val="none"/>
                <w:lang w:val="en-US" w:eastAsia="zh-CN"/>
              </w:rPr>
              <w:t>3</w:t>
            </w:r>
            <w:r>
              <w:rPr>
                <w:rFonts w:hint="eastAsia"/>
                <w:sz w:val="22"/>
                <w:highlight w:val="none"/>
              </w:rPr>
              <w:t>个月的社保</w:t>
            </w:r>
            <w:r>
              <w:rPr>
                <w:rFonts w:hint="eastAsia"/>
                <w:sz w:val="22"/>
              </w:rPr>
              <w:t>证明材料并加盖公章进入</w:t>
            </w:r>
            <w:r>
              <w:rPr>
                <w:rFonts w:hint="eastAsia"/>
                <w:sz w:val="22"/>
                <w:lang w:eastAsia="zh-CN"/>
              </w:rPr>
              <w:t>投标文件</w:t>
            </w:r>
            <w:r>
              <w:rPr>
                <w:rFonts w:hint="eastAsia"/>
                <w:sz w:val="22"/>
              </w:rPr>
              <w:t>。</w:t>
            </w:r>
            <w:r>
              <w:rPr>
                <w:sz w:val="22"/>
              </w:rPr>
              <w:t>）</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7DB24D32">
            <w:pPr>
              <w:jc w:val="center"/>
              <w:rPr>
                <w:rFonts w:ascii="宋体" w:hAnsi="宋体"/>
                <w:szCs w:val="21"/>
              </w:rPr>
            </w:pPr>
          </w:p>
        </w:tc>
      </w:tr>
      <w:tr w14:paraId="5FAD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666" w:type="dxa"/>
            <w:vMerge w:val="continue"/>
            <w:tcBorders>
              <w:left w:val="single" w:color="auto" w:sz="4" w:space="0"/>
              <w:right w:val="single" w:color="auto" w:sz="4" w:space="0"/>
            </w:tcBorders>
            <w:noWrap w:val="0"/>
            <w:vAlign w:val="center"/>
          </w:tcPr>
          <w:p w14:paraId="62B04254">
            <w:pPr>
              <w:jc w:val="center"/>
              <w:rPr>
                <w:rFonts w:hint="eastAsia" w:ascii="宋体" w:hAnsi="宋体"/>
                <w:szCs w:val="21"/>
              </w:rPr>
            </w:pPr>
          </w:p>
        </w:tc>
        <w:tc>
          <w:tcPr>
            <w:tcW w:w="666" w:type="dxa"/>
            <w:tcBorders>
              <w:top w:val="single" w:color="auto" w:sz="4" w:space="0"/>
              <w:left w:val="single" w:color="auto" w:sz="4" w:space="0"/>
              <w:right w:val="single" w:color="auto" w:sz="4" w:space="0"/>
            </w:tcBorders>
            <w:noWrap w:val="0"/>
            <w:vAlign w:val="center"/>
          </w:tcPr>
          <w:p w14:paraId="74583A1C">
            <w:pPr>
              <w:jc w:val="center"/>
              <w:rPr>
                <w:rFonts w:hint="eastAsia" w:ascii="宋体"/>
                <w:szCs w:val="21"/>
              </w:rPr>
            </w:pPr>
            <w:r>
              <w:rPr>
                <w:rFonts w:hint="eastAsia" w:ascii="宋体" w:hAnsi="宋体"/>
                <w:szCs w:val="21"/>
              </w:rPr>
              <w:t>2</w:t>
            </w:r>
          </w:p>
        </w:tc>
        <w:tc>
          <w:tcPr>
            <w:tcW w:w="1173" w:type="dxa"/>
            <w:tcBorders>
              <w:top w:val="single" w:color="auto" w:sz="4" w:space="0"/>
              <w:left w:val="single" w:color="auto" w:sz="4" w:space="0"/>
              <w:right w:val="single" w:color="auto" w:sz="4" w:space="0"/>
            </w:tcBorders>
            <w:shd w:val="clear" w:color="auto" w:fill="auto"/>
            <w:noWrap w:val="0"/>
            <w:vAlign w:val="center"/>
          </w:tcPr>
          <w:p w14:paraId="6BC8A3EA">
            <w:pPr>
              <w:snapToGrid w:val="0"/>
              <w:jc w:val="center"/>
              <w:rPr>
                <w:rFonts w:ascii="Times New Roman" w:hAnsi="Times New Roman" w:eastAsia="宋体" w:cs="Times New Roman"/>
                <w:kern w:val="2"/>
                <w:sz w:val="21"/>
                <w:lang w:val="en-US" w:eastAsia="zh-CN" w:bidi="ar-SA"/>
              </w:rPr>
            </w:pPr>
            <w:r>
              <w:rPr>
                <w:sz w:val="22"/>
              </w:rPr>
              <w:t>项目组人员（除项目负责人外）</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FBD53">
            <w:pPr>
              <w:autoSpaceDE w:val="0"/>
              <w:spacing w:line="360" w:lineRule="exact"/>
              <w:jc w:val="center"/>
              <w:rPr>
                <w:rFonts w:hint="eastAsia" w:ascii="Times New Roman" w:hAnsi="Times New Roman" w:eastAsia="宋体" w:cs="Times New Roman"/>
                <w:kern w:val="2"/>
                <w:sz w:val="21"/>
                <w:lang w:val="en-US" w:eastAsia="zh-CN" w:bidi="ar-SA"/>
              </w:rPr>
            </w:pPr>
            <w:r>
              <w:rPr>
                <w:rFonts w:hint="eastAsia"/>
              </w:rPr>
              <w:t>6</w:t>
            </w:r>
          </w:p>
        </w:tc>
        <w:tc>
          <w:tcPr>
            <w:tcW w:w="4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B74223">
            <w:pPr>
              <w:kinsoku w:val="0"/>
              <w:overflowPunct w:val="0"/>
              <w:spacing w:line="276" w:lineRule="auto"/>
              <w:ind w:right="113"/>
              <w:jc w:val="left"/>
              <w:rPr>
                <w:rFonts w:hint="default"/>
                <w:sz w:val="22"/>
                <w:lang w:val="en-US"/>
              </w:rPr>
            </w:pPr>
            <w:r>
              <w:rPr>
                <w:sz w:val="22"/>
              </w:rPr>
              <w:t>除项目负责人外，</w:t>
            </w:r>
            <w:r>
              <w:rPr>
                <w:rFonts w:hint="eastAsia"/>
                <w:lang w:val="en-US" w:eastAsia="zh-CN"/>
              </w:rPr>
              <w:t>项目组成员具备中级及以上工程师职称的，或具有咨询工程师证书的，有一人得2分，本项最高得6分。一人只计分一次。</w:t>
            </w:r>
          </w:p>
          <w:p w14:paraId="7BE9EAD4">
            <w:pPr>
              <w:kinsoku w:val="0"/>
              <w:overflowPunct w:val="0"/>
              <w:spacing w:line="276" w:lineRule="auto"/>
              <w:ind w:right="113" w:rightChars="0"/>
              <w:jc w:val="left"/>
              <w:rPr>
                <w:rFonts w:ascii="Times New Roman" w:hAnsi="Times New Roman" w:eastAsia="宋体" w:cs="Times New Roman"/>
                <w:kern w:val="2"/>
                <w:sz w:val="22"/>
                <w:lang w:val="en-US" w:eastAsia="zh-CN" w:bidi="ar-SA"/>
              </w:rPr>
            </w:pPr>
            <w:r>
              <w:rPr>
                <w:sz w:val="22"/>
              </w:rPr>
              <w:t>（</w:t>
            </w:r>
            <w:r>
              <w:rPr>
                <w:rFonts w:hint="eastAsia"/>
                <w:sz w:val="22"/>
              </w:rPr>
              <w:t>提供相应的人员职称证书复印件加盖公章进入</w:t>
            </w:r>
            <w:r>
              <w:rPr>
                <w:rFonts w:hint="eastAsia"/>
                <w:sz w:val="22"/>
                <w:lang w:eastAsia="zh-CN"/>
              </w:rPr>
              <w:t>投标文件</w:t>
            </w:r>
            <w:r>
              <w:rPr>
                <w:rFonts w:hint="eastAsia"/>
                <w:sz w:val="22"/>
              </w:rPr>
              <w:t>。项目组人员需为本单位在职员工，并依法缴纳社保，须出具近</w:t>
            </w:r>
            <w:r>
              <w:rPr>
                <w:rFonts w:hint="eastAsia"/>
                <w:sz w:val="22"/>
                <w:lang w:val="en-US" w:eastAsia="zh-CN"/>
              </w:rPr>
              <w:t>3</w:t>
            </w:r>
            <w:r>
              <w:rPr>
                <w:rFonts w:hint="eastAsia"/>
                <w:sz w:val="22"/>
              </w:rPr>
              <w:t>个月的社保证明材料并加盖公章进入</w:t>
            </w:r>
            <w:r>
              <w:rPr>
                <w:rFonts w:hint="eastAsia"/>
                <w:sz w:val="22"/>
                <w:lang w:eastAsia="zh-CN"/>
              </w:rPr>
              <w:t>投标文件</w:t>
            </w:r>
            <w:r>
              <w:rPr>
                <w:rFonts w:hint="eastAsia"/>
                <w:sz w:val="22"/>
              </w:rPr>
              <w:t>。</w:t>
            </w:r>
            <w:r>
              <w:rPr>
                <w:sz w:val="22"/>
              </w:rPr>
              <w:t>）</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3E86CADA">
            <w:pPr>
              <w:jc w:val="center"/>
              <w:rPr>
                <w:rFonts w:ascii="宋体" w:hAnsi="宋体"/>
                <w:szCs w:val="21"/>
              </w:rPr>
            </w:pPr>
          </w:p>
        </w:tc>
      </w:tr>
      <w:tr w14:paraId="4D50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666" w:type="dxa"/>
            <w:vMerge w:val="continue"/>
            <w:tcBorders>
              <w:left w:val="single" w:color="auto" w:sz="4" w:space="0"/>
              <w:right w:val="single" w:color="auto" w:sz="4" w:space="0"/>
            </w:tcBorders>
            <w:noWrap w:val="0"/>
            <w:vAlign w:val="center"/>
          </w:tcPr>
          <w:p w14:paraId="2044D3E3">
            <w:pPr>
              <w:jc w:val="center"/>
              <w:rPr>
                <w:rFonts w:hint="eastAsia" w:ascii="宋体" w:hAnsi="宋体"/>
                <w:szCs w:val="21"/>
              </w:rPr>
            </w:pPr>
          </w:p>
        </w:tc>
        <w:tc>
          <w:tcPr>
            <w:tcW w:w="666" w:type="dxa"/>
            <w:tcBorders>
              <w:top w:val="single" w:color="auto" w:sz="4" w:space="0"/>
              <w:left w:val="single" w:color="auto" w:sz="4" w:space="0"/>
              <w:right w:val="single" w:color="auto" w:sz="4" w:space="0"/>
            </w:tcBorders>
            <w:noWrap w:val="0"/>
            <w:vAlign w:val="center"/>
          </w:tcPr>
          <w:p w14:paraId="4033AF02">
            <w:pPr>
              <w:jc w:val="center"/>
              <w:rPr>
                <w:rFonts w:hint="eastAsia" w:ascii="宋体"/>
                <w:szCs w:val="21"/>
              </w:rPr>
            </w:pPr>
            <w:r>
              <w:rPr>
                <w:rFonts w:hint="eastAsia" w:ascii="宋体" w:hAnsi="宋体"/>
                <w:szCs w:val="21"/>
              </w:rPr>
              <w:t>3</w:t>
            </w:r>
          </w:p>
        </w:tc>
        <w:tc>
          <w:tcPr>
            <w:tcW w:w="1173" w:type="dxa"/>
            <w:tcBorders>
              <w:top w:val="single" w:color="auto" w:sz="4" w:space="0"/>
              <w:left w:val="single" w:color="auto" w:sz="4" w:space="0"/>
              <w:right w:val="single" w:color="auto" w:sz="4" w:space="0"/>
            </w:tcBorders>
            <w:shd w:val="clear" w:color="auto" w:fill="auto"/>
            <w:noWrap w:val="0"/>
            <w:vAlign w:val="center"/>
          </w:tcPr>
          <w:p w14:paraId="7AF5B2F4">
            <w:pPr>
              <w:snapToGrid w:val="0"/>
              <w:jc w:val="center"/>
              <w:rPr>
                <w:rFonts w:ascii="Times New Roman" w:hAnsi="Times New Roman" w:eastAsia="宋体" w:cs="Times New Roman"/>
                <w:kern w:val="2"/>
                <w:sz w:val="21"/>
                <w:lang w:val="en-US" w:eastAsia="zh-CN" w:bidi="ar-SA"/>
              </w:rPr>
            </w:pPr>
            <w:r>
              <w:rPr>
                <w:sz w:val="22"/>
              </w:rPr>
              <w:t>类似业绩</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B620D">
            <w:pPr>
              <w:autoSpaceDE w:val="0"/>
              <w:spacing w:line="360" w:lineRule="exact"/>
              <w:jc w:val="center"/>
              <w:rPr>
                <w:rFonts w:hint="eastAsia" w:ascii="Times New Roman" w:hAnsi="Times New Roman" w:eastAsia="宋体" w:cs="Times New Roman"/>
                <w:kern w:val="2"/>
                <w:sz w:val="21"/>
                <w:lang w:val="en-US" w:eastAsia="zh-CN" w:bidi="ar-SA"/>
              </w:rPr>
            </w:pPr>
            <w:r>
              <w:rPr>
                <w:rFonts w:hint="eastAsia"/>
                <w:kern w:val="0"/>
                <w:szCs w:val="21"/>
                <w:lang w:val="en-US" w:eastAsia="zh-CN"/>
              </w:rPr>
              <w:t>8</w:t>
            </w:r>
          </w:p>
        </w:tc>
        <w:tc>
          <w:tcPr>
            <w:tcW w:w="4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6025C">
            <w:pPr>
              <w:kinsoku w:val="0"/>
              <w:overflowPunct w:val="0"/>
              <w:spacing w:line="276" w:lineRule="auto"/>
              <w:ind w:right="113"/>
              <w:jc w:val="left"/>
              <w:rPr>
                <w:sz w:val="22"/>
              </w:rPr>
            </w:pPr>
            <w:r>
              <w:rPr>
                <w:sz w:val="22"/>
              </w:rPr>
              <w:t>供应商承担过</w:t>
            </w:r>
            <w:r>
              <w:rPr>
                <w:rFonts w:hint="eastAsia"/>
                <w:sz w:val="22"/>
                <w:lang w:val="en-US" w:eastAsia="zh-CN"/>
              </w:rPr>
              <w:t>类似业绩的</w:t>
            </w:r>
            <w:r>
              <w:rPr>
                <w:sz w:val="22"/>
              </w:rPr>
              <w:t>，每1个得</w:t>
            </w:r>
            <w:r>
              <w:rPr>
                <w:rFonts w:hint="eastAsia"/>
                <w:sz w:val="22"/>
                <w:lang w:val="en-US" w:eastAsia="zh-CN"/>
              </w:rPr>
              <w:t>2</w:t>
            </w:r>
            <w:r>
              <w:rPr>
                <w:sz w:val="22"/>
              </w:rPr>
              <w:t>分，最高得</w:t>
            </w:r>
            <w:r>
              <w:rPr>
                <w:rFonts w:hint="eastAsia"/>
                <w:sz w:val="22"/>
                <w:lang w:val="en-US" w:eastAsia="zh-CN"/>
              </w:rPr>
              <w:t>8</w:t>
            </w:r>
            <w:r>
              <w:rPr>
                <w:sz w:val="22"/>
              </w:rPr>
              <w:t>分</w:t>
            </w:r>
            <w:r>
              <w:rPr>
                <w:rFonts w:hint="eastAsia"/>
                <w:sz w:val="22"/>
              </w:rPr>
              <w:t>。</w:t>
            </w:r>
          </w:p>
          <w:p w14:paraId="572E612C">
            <w:pPr>
              <w:kinsoku w:val="0"/>
              <w:overflowPunct w:val="0"/>
              <w:spacing w:line="276" w:lineRule="auto"/>
              <w:ind w:right="113" w:rightChars="0"/>
              <w:jc w:val="left"/>
              <w:rPr>
                <w:rFonts w:ascii="Times New Roman" w:hAnsi="Times New Roman" w:eastAsia="宋体" w:cs="Times New Roman"/>
                <w:kern w:val="2"/>
                <w:sz w:val="22"/>
                <w:lang w:val="en-US" w:eastAsia="zh-CN" w:bidi="ar-SA"/>
              </w:rPr>
            </w:pPr>
            <w:r>
              <w:rPr>
                <w:rFonts w:hint="eastAsia" w:ascii="Times New Roman" w:hAnsi="Times New Roman" w:eastAsia="宋体" w:cs="Times New Roman"/>
                <w:sz w:val="22"/>
                <w:lang w:eastAsia="zh-CN"/>
              </w:rPr>
              <w:t>（投标文件中提供对应合同复印件，不提供不得分。</w:t>
            </w:r>
            <w:r>
              <w:rPr>
                <w:rFonts w:hint="eastAsia" w:ascii="Times New Roman" w:hAnsi="Times New Roman" w:eastAsia="宋体" w:cs="Times New Roman"/>
                <w:sz w:val="22"/>
                <w:lang w:val="en-US" w:eastAsia="zh-CN"/>
              </w:rPr>
              <w:t>合同</w:t>
            </w:r>
            <w:r>
              <w:rPr>
                <w:rFonts w:hint="eastAsia" w:ascii="Times New Roman" w:hAnsi="Times New Roman" w:eastAsia="宋体" w:cs="Times New Roman"/>
                <w:sz w:val="22"/>
                <w:lang w:eastAsia="zh-CN"/>
              </w:rPr>
              <w:t>原件</w:t>
            </w:r>
            <w:r>
              <w:rPr>
                <w:rFonts w:hint="eastAsia" w:ascii="Times New Roman" w:hAnsi="Times New Roman" w:eastAsia="宋体" w:cs="Times New Roman"/>
                <w:sz w:val="22"/>
                <w:lang w:val="en-US" w:eastAsia="zh-CN"/>
              </w:rPr>
              <w:t>开标时一并提交</w:t>
            </w:r>
            <w:r>
              <w:rPr>
                <w:rFonts w:hint="eastAsia" w:ascii="Times New Roman" w:hAnsi="Times New Roman" w:eastAsia="宋体" w:cs="Times New Roman"/>
                <w:sz w:val="22"/>
                <w:lang w:eastAsia="zh-CN"/>
              </w:rPr>
              <w:t>）</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710F0286">
            <w:pPr>
              <w:jc w:val="center"/>
              <w:rPr>
                <w:rFonts w:ascii="宋体" w:hAnsi="宋体"/>
                <w:szCs w:val="21"/>
              </w:rPr>
            </w:pPr>
          </w:p>
        </w:tc>
      </w:tr>
    </w:tbl>
    <w:p w14:paraId="23141A57">
      <w:pPr>
        <w:rPr>
          <w:rFonts w:hint="eastAsia" w:ascii="宋体" w:hAnsi="宋体"/>
          <w:sz w:val="24"/>
          <w:szCs w:val="24"/>
        </w:rPr>
      </w:pPr>
    </w:p>
    <w:p w14:paraId="483A03EF">
      <w:pPr>
        <w:spacing w:line="360" w:lineRule="auto"/>
        <w:rPr>
          <w:rFonts w:hint="eastAsia" w:ascii="宋体" w:hAnsi="宋体"/>
          <w:sz w:val="24"/>
          <w:szCs w:val="24"/>
        </w:rPr>
      </w:pPr>
      <w:r>
        <w:rPr>
          <w:rFonts w:hint="eastAsia" w:ascii="宋体" w:hAnsi="宋体"/>
          <w:sz w:val="24"/>
          <w:szCs w:val="24"/>
        </w:rPr>
        <w:t>2、价格部分</w:t>
      </w:r>
    </w:p>
    <w:tbl>
      <w:tblPr>
        <w:tblStyle w:val="3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604"/>
        <w:gridCol w:w="931"/>
        <w:gridCol w:w="6025"/>
      </w:tblGrid>
      <w:tr w14:paraId="1997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5B805853">
            <w:pPr>
              <w:jc w:val="center"/>
              <w:rPr>
                <w:rFonts w:ascii="宋体" w:hAnsi="宋体"/>
                <w:sz w:val="24"/>
                <w:szCs w:val="24"/>
              </w:rPr>
            </w:pPr>
            <w:r>
              <w:rPr>
                <w:rFonts w:hint="eastAsia" w:ascii="宋体" w:hAnsi="宋体"/>
                <w:sz w:val="24"/>
                <w:szCs w:val="24"/>
              </w:rPr>
              <w:t>序号</w:t>
            </w:r>
          </w:p>
        </w:tc>
        <w:tc>
          <w:tcPr>
            <w:tcW w:w="1604" w:type="dxa"/>
            <w:tcBorders>
              <w:top w:val="single" w:color="auto" w:sz="4" w:space="0"/>
              <w:left w:val="single" w:color="auto" w:sz="4" w:space="0"/>
              <w:right w:val="single" w:color="auto" w:sz="4" w:space="0"/>
            </w:tcBorders>
            <w:noWrap w:val="0"/>
            <w:vAlign w:val="center"/>
          </w:tcPr>
          <w:p w14:paraId="3B5B532C">
            <w:pPr>
              <w:jc w:val="center"/>
              <w:rPr>
                <w:rFonts w:ascii="宋体" w:hAnsi="宋体"/>
                <w:sz w:val="24"/>
                <w:szCs w:val="24"/>
              </w:rPr>
            </w:pPr>
            <w:r>
              <w:rPr>
                <w:rFonts w:hint="eastAsia" w:ascii="宋体" w:hAnsi="宋体"/>
                <w:sz w:val="24"/>
                <w:szCs w:val="24"/>
              </w:rPr>
              <w:t>评审项目</w:t>
            </w:r>
          </w:p>
        </w:tc>
        <w:tc>
          <w:tcPr>
            <w:tcW w:w="931" w:type="dxa"/>
            <w:tcBorders>
              <w:top w:val="single" w:color="auto" w:sz="4" w:space="0"/>
              <w:left w:val="single" w:color="auto" w:sz="4" w:space="0"/>
              <w:right w:val="single" w:color="auto" w:sz="4" w:space="0"/>
            </w:tcBorders>
            <w:noWrap w:val="0"/>
            <w:vAlign w:val="center"/>
          </w:tcPr>
          <w:p w14:paraId="613489B1">
            <w:pPr>
              <w:jc w:val="center"/>
              <w:rPr>
                <w:rFonts w:ascii="宋体" w:hAnsi="宋体"/>
                <w:sz w:val="24"/>
                <w:szCs w:val="24"/>
              </w:rPr>
            </w:pPr>
            <w:r>
              <w:rPr>
                <w:rFonts w:hint="eastAsia" w:ascii="宋体" w:hAnsi="宋体"/>
                <w:sz w:val="24"/>
                <w:szCs w:val="24"/>
              </w:rPr>
              <w:t>分值</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09D317D7">
            <w:pPr>
              <w:jc w:val="center"/>
              <w:rPr>
                <w:rFonts w:ascii="宋体" w:hAnsi="宋体"/>
                <w:sz w:val="24"/>
                <w:szCs w:val="24"/>
              </w:rPr>
            </w:pPr>
            <w:r>
              <w:rPr>
                <w:rFonts w:hint="eastAsia" w:ascii="宋体" w:hAnsi="宋体"/>
                <w:sz w:val="24"/>
                <w:szCs w:val="24"/>
              </w:rPr>
              <w:t>评审细则</w:t>
            </w:r>
          </w:p>
        </w:tc>
      </w:tr>
      <w:tr w14:paraId="19FF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14:paraId="2CF606F2">
            <w:pPr>
              <w:jc w:val="center"/>
              <w:rPr>
                <w:rFonts w:hint="eastAsia" w:ascii="宋体" w:hAnsi="宋体"/>
                <w:sz w:val="24"/>
                <w:szCs w:val="24"/>
              </w:rPr>
            </w:pPr>
            <w:r>
              <w:rPr>
                <w:rFonts w:hint="eastAsia" w:ascii="宋体" w:hAnsi="宋体"/>
                <w:sz w:val="24"/>
                <w:szCs w:val="24"/>
              </w:rPr>
              <w:t>1</w:t>
            </w:r>
          </w:p>
        </w:tc>
        <w:tc>
          <w:tcPr>
            <w:tcW w:w="1604" w:type="dxa"/>
            <w:tcBorders>
              <w:top w:val="single" w:color="auto" w:sz="4" w:space="0"/>
              <w:left w:val="single" w:color="auto" w:sz="4" w:space="0"/>
              <w:right w:val="single" w:color="auto" w:sz="4" w:space="0"/>
            </w:tcBorders>
            <w:noWrap w:val="0"/>
            <w:vAlign w:val="center"/>
          </w:tcPr>
          <w:p w14:paraId="7CA91E6B">
            <w:pPr>
              <w:jc w:val="center"/>
              <w:rPr>
                <w:rFonts w:hint="eastAsia" w:ascii="宋体" w:hAnsi="宋体"/>
                <w:sz w:val="24"/>
                <w:szCs w:val="24"/>
              </w:rPr>
            </w:pPr>
            <w:r>
              <w:rPr>
                <w:rFonts w:hint="eastAsia" w:ascii="宋体" w:hAnsi="宋体"/>
                <w:sz w:val="24"/>
                <w:szCs w:val="24"/>
              </w:rPr>
              <w:t>价格部分</w:t>
            </w:r>
          </w:p>
        </w:tc>
        <w:tc>
          <w:tcPr>
            <w:tcW w:w="931" w:type="dxa"/>
            <w:tcBorders>
              <w:top w:val="single" w:color="auto" w:sz="4" w:space="0"/>
              <w:left w:val="single" w:color="auto" w:sz="4" w:space="0"/>
              <w:right w:val="single" w:color="auto" w:sz="4" w:space="0"/>
            </w:tcBorders>
            <w:noWrap w:val="0"/>
            <w:vAlign w:val="center"/>
          </w:tcPr>
          <w:p w14:paraId="29A77CC5">
            <w:pPr>
              <w:jc w:val="center"/>
              <w:rPr>
                <w:rFonts w:hint="default" w:ascii="宋体" w:hAnsi="宋体" w:eastAsia="宋体"/>
                <w:szCs w:val="21"/>
                <w:lang w:val="en-US" w:eastAsia="zh-CN"/>
              </w:rPr>
            </w:pPr>
            <w:r>
              <w:rPr>
                <w:rFonts w:hint="eastAsia" w:ascii="宋体" w:hAnsi="宋体"/>
                <w:szCs w:val="21"/>
                <w:lang w:val="en-US" w:eastAsia="zh-CN"/>
              </w:rPr>
              <w:t>20</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052B0C83">
            <w:pPr>
              <w:jc w:val="left"/>
              <w:rPr>
                <w:rFonts w:hint="eastAsia" w:ascii="宋体" w:hAnsi="宋体"/>
                <w:szCs w:val="21"/>
              </w:rPr>
            </w:pPr>
            <w:r>
              <w:rPr>
                <w:rFonts w:hint="eastAsia" w:ascii="宋体" w:hAnsi="宋体"/>
                <w:szCs w:val="21"/>
              </w:rPr>
              <w:t>1、以有效投标文件的评标价算术平均值为 A（若7≤有效投标文件&lt;10 家时，去掉其中的一个最高价和一个最低价后取算术平均值为 A；若有效投标文件≥10 家时，去掉其中的二个最高价和二个最低价后取算术平均值为 A）。</w:t>
            </w:r>
          </w:p>
          <w:p w14:paraId="38D5566A">
            <w:pPr>
              <w:jc w:val="left"/>
              <w:rPr>
                <w:rFonts w:hint="eastAsia" w:ascii="宋体" w:hAnsi="宋体"/>
                <w:szCs w:val="21"/>
              </w:rPr>
            </w:pPr>
            <w:r>
              <w:rPr>
                <w:rFonts w:hint="eastAsia" w:ascii="宋体" w:hAnsi="宋体"/>
                <w:szCs w:val="21"/>
              </w:rPr>
              <w:t>评标基准价=A×K，</w:t>
            </w:r>
          </w:p>
          <w:p w14:paraId="0D7E96C9">
            <w:pPr>
              <w:jc w:val="left"/>
              <w:rPr>
                <w:rFonts w:hint="eastAsia" w:ascii="宋体" w:hAnsi="宋体"/>
                <w:szCs w:val="21"/>
              </w:rPr>
            </w:pPr>
            <w:r>
              <w:rPr>
                <w:rFonts w:hint="eastAsia" w:ascii="宋体" w:hAnsi="宋体"/>
                <w:szCs w:val="21"/>
              </w:rPr>
              <w:t>K值取值范围为95%、96%、97%。评标价等于基准价的得满分；每高于或低于评标基准价1%扣（0.3）分，偏离不足1%的，按照插入法计算得分。</w:t>
            </w:r>
          </w:p>
          <w:p w14:paraId="18F6D077">
            <w:pPr>
              <w:jc w:val="left"/>
              <w:rPr>
                <w:rFonts w:ascii="宋体" w:hAnsi="宋体"/>
                <w:szCs w:val="21"/>
              </w:rPr>
            </w:pPr>
            <w:r>
              <w:rPr>
                <w:rFonts w:hint="eastAsia" w:ascii="宋体" w:hAnsi="宋体"/>
                <w:szCs w:val="21"/>
              </w:rPr>
              <w:t>注：抽签代表的确定：按现场签到的顺序，第一个签到人为抽签代表抽取抽取K值，抽取人必须为投标人代表（法定代表人或授权委托人）。评标办法及K值只抽取一次，抽签结果不因后续评审和投诉等情况而改变。</w:t>
            </w:r>
          </w:p>
        </w:tc>
      </w:tr>
    </w:tbl>
    <w:p w14:paraId="49F3F50E">
      <w:pPr>
        <w:jc w:val="left"/>
        <w:rPr>
          <w:rFonts w:hint="eastAsia" w:ascii="宋体" w:hAnsi="宋体"/>
          <w:b/>
          <w:bCs/>
          <w:sz w:val="24"/>
          <w:szCs w:val="24"/>
        </w:rPr>
      </w:pPr>
    </w:p>
    <w:p w14:paraId="10DF6133">
      <w:pPr>
        <w:jc w:val="left"/>
        <w:rPr>
          <w:rFonts w:hint="eastAsia" w:ascii="宋体" w:hAnsi="宋体"/>
          <w:b/>
          <w:bCs/>
          <w:sz w:val="24"/>
          <w:szCs w:val="24"/>
        </w:rPr>
      </w:pPr>
      <w:r>
        <w:rPr>
          <w:rFonts w:hint="eastAsia" w:ascii="宋体" w:hAnsi="宋体"/>
          <w:b/>
          <w:bCs/>
          <w:sz w:val="24"/>
          <w:szCs w:val="24"/>
        </w:rPr>
        <w:t>备注：</w:t>
      </w:r>
    </w:p>
    <w:p w14:paraId="1E544C12">
      <w:pPr>
        <w:spacing w:line="360" w:lineRule="auto"/>
        <w:ind w:firstLine="480" w:firstLineChars="200"/>
        <w:jc w:val="left"/>
        <w:rPr>
          <w:rFonts w:hint="eastAsia" w:ascii="宋体" w:hAnsi="宋体"/>
          <w:sz w:val="24"/>
          <w:szCs w:val="24"/>
        </w:rPr>
      </w:pPr>
      <w:r>
        <w:rPr>
          <w:rFonts w:hint="eastAsia" w:ascii="宋体" w:hAnsi="宋体"/>
          <w:sz w:val="24"/>
          <w:szCs w:val="24"/>
        </w:rPr>
        <w:t>1、评分过程中如出现小数点后三位，采用四舍五入法，最终保留两位小数；</w:t>
      </w:r>
    </w:p>
    <w:p w14:paraId="02039295">
      <w:pPr>
        <w:ind w:firstLine="480"/>
        <w:jc w:val="lef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投标文件</w:t>
      </w:r>
      <w:r>
        <w:rPr>
          <w:rFonts w:hint="eastAsia" w:ascii="宋体" w:hAnsi="宋体"/>
          <w:sz w:val="24"/>
          <w:szCs w:val="24"/>
        </w:rPr>
        <w:t>中必须提供以上相关证明材料复印件，否则不予加分。</w:t>
      </w:r>
    </w:p>
    <w:p w14:paraId="18CA15B3">
      <w:pPr>
        <w:spacing w:line="360" w:lineRule="auto"/>
        <w:rPr>
          <w:rFonts w:hint="eastAsia" w:ascii="黑体" w:hAnsi="黑体" w:eastAsia="黑体"/>
          <w:color w:val="auto"/>
          <w:sz w:val="28"/>
          <w:highlight w:val="none"/>
        </w:rPr>
      </w:pPr>
    </w:p>
    <w:bookmarkEnd w:id="72"/>
    <w:bookmarkEnd w:id="73"/>
    <w:p w14:paraId="797F0D06">
      <w:pPr>
        <w:rPr>
          <w:rFonts w:hint="eastAsia" w:ascii="黑体" w:hAnsi="黑体" w:eastAsia="黑体"/>
          <w:color w:val="auto"/>
          <w:sz w:val="28"/>
          <w:highlight w:val="none"/>
        </w:rPr>
      </w:pPr>
      <w:bookmarkStart w:id="74" w:name="_Toc3082"/>
      <w:bookmarkStart w:id="75" w:name="_Toc25967"/>
      <w:r>
        <w:rPr>
          <w:rFonts w:hint="eastAsia" w:ascii="黑体" w:hAnsi="黑体" w:eastAsia="黑体"/>
          <w:color w:val="auto"/>
          <w:sz w:val="28"/>
          <w:highlight w:val="none"/>
        </w:rPr>
        <w:br w:type="page"/>
      </w:r>
    </w:p>
    <w:p w14:paraId="3D275E5A">
      <w:pPr>
        <w:spacing w:line="360" w:lineRule="auto"/>
        <w:jc w:val="center"/>
        <w:outlineLvl w:val="0"/>
        <w:rPr>
          <w:rFonts w:hint="eastAsia" w:ascii="黑体" w:hAnsi="黑体" w:eastAsia="黑体"/>
          <w:color w:val="000000"/>
          <w:sz w:val="28"/>
          <w:highlight w:val="none"/>
        </w:rPr>
      </w:pPr>
      <w:r>
        <w:rPr>
          <w:rFonts w:hint="eastAsia" w:ascii="黑体" w:hAnsi="黑体" w:eastAsia="黑体"/>
          <w:color w:val="000000"/>
          <w:sz w:val="28"/>
          <w:highlight w:val="none"/>
        </w:rPr>
        <w:t>第五章 采购合同（格式）</w:t>
      </w:r>
    </w:p>
    <w:p w14:paraId="552AB6C4">
      <w:pPr>
        <w:pStyle w:val="44"/>
        <w:ind w:firstLine="0"/>
        <w:jc w:val="right"/>
        <w:rPr>
          <w:rFonts w:hint="eastAsia" w:hAnsi="宋体" w:cs="宋体"/>
          <w:b/>
          <w:color w:val="000000"/>
          <w:sz w:val="28"/>
          <w:szCs w:val="28"/>
          <w:highlight w:val="none"/>
          <w:lang w:val="zh-CN"/>
        </w:rPr>
      </w:pPr>
    </w:p>
    <w:p w14:paraId="1AEE5324">
      <w:pPr>
        <w:pStyle w:val="44"/>
        <w:ind w:firstLine="0"/>
        <w:jc w:val="right"/>
        <w:rPr>
          <w:rFonts w:hint="eastAsia" w:hAnsi="宋体" w:cs="宋体"/>
          <w:color w:val="000000"/>
          <w:szCs w:val="24"/>
          <w:highlight w:val="none"/>
        </w:rPr>
      </w:pPr>
    </w:p>
    <w:p w14:paraId="402C8B8A">
      <w:pPr>
        <w:pStyle w:val="44"/>
        <w:ind w:firstLine="0"/>
        <w:rPr>
          <w:rFonts w:hint="eastAsia" w:hAnsi="宋体" w:cs="宋体"/>
          <w:color w:val="000000"/>
          <w:szCs w:val="24"/>
          <w:highlight w:val="none"/>
        </w:rPr>
      </w:pPr>
    </w:p>
    <w:p w14:paraId="41B55B37">
      <w:pPr>
        <w:pStyle w:val="44"/>
        <w:ind w:firstLine="0"/>
        <w:rPr>
          <w:rFonts w:hint="eastAsia" w:hAnsi="宋体" w:cs="宋体"/>
          <w:color w:val="000000"/>
          <w:szCs w:val="24"/>
          <w:highlight w:val="none"/>
        </w:rPr>
      </w:pPr>
    </w:p>
    <w:p w14:paraId="08136813">
      <w:pPr>
        <w:pStyle w:val="44"/>
        <w:ind w:firstLine="0"/>
        <w:jc w:val="center"/>
        <w:rPr>
          <w:rFonts w:hint="eastAsia" w:hAnsi="宋体" w:cs="宋体"/>
          <w:b/>
          <w:color w:val="000000"/>
          <w:szCs w:val="24"/>
          <w:highlight w:val="none"/>
        </w:rPr>
      </w:pPr>
      <w:r>
        <w:rPr>
          <w:rFonts w:hint="eastAsia" w:hAnsi="宋体" w:cs="宋体"/>
          <w:b/>
          <w:color w:val="000000"/>
          <w:szCs w:val="24"/>
          <w:highlight w:val="none"/>
        </w:rPr>
        <w:t>第一部分 合同书</w:t>
      </w:r>
    </w:p>
    <w:p w14:paraId="4078E69E">
      <w:pPr>
        <w:pStyle w:val="44"/>
        <w:ind w:firstLine="0"/>
        <w:rPr>
          <w:rFonts w:hint="eastAsia" w:hAnsi="宋体" w:cs="宋体"/>
          <w:color w:val="000000"/>
          <w:szCs w:val="24"/>
          <w:highlight w:val="none"/>
        </w:rPr>
      </w:pPr>
    </w:p>
    <w:p w14:paraId="3A0C1393">
      <w:pPr>
        <w:pStyle w:val="44"/>
        <w:ind w:firstLine="0"/>
        <w:rPr>
          <w:rFonts w:hint="eastAsia" w:hAnsi="宋体" w:cs="宋体"/>
          <w:color w:val="000000"/>
          <w:szCs w:val="24"/>
          <w:highlight w:val="none"/>
        </w:rPr>
      </w:pPr>
    </w:p>
    <w:p w14:paraId="5E50ADA9">
      <w:pPr>
        <w:spacing w:before="120" w:line="22" w:lineRule="atLeast"/>
        <w:rPr>
          <w:rFonts w:hint="eastAsia" w:ascii="宋体" w:hAnsi="宋体" w:cs="宋体"/>
          <w:color w:val="000000"/>
          <w:sz w:val="24"/>
          <w:highlight w:val="none"/>
        </w:rPr>
      </w:pPr>
    </w:p>
    <w:p w14:paraId="0412B011">
      <w:pPr>
        <w:spacing w:before="120" w:line="22" w:lineRule="atLeast"/>
        <w:ind w:left="960"/>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p>
    <w:p w14:paraId="52C7ACDA">
      <w:pPr>
        <w:pStyle w:val="47"/>
        <w:spacing w:before="120" w:line="22" w:lineRule="atLeast"/>
        <w:rPr>
          <w:rFonts w:hint="eastAsia" w:ascii="宋体" w:hAnsi="宋体" w:eastAsia="宋体" w:cs="宋体"/>
          <w:color w:val="000000"/>
          <w:szCs w:val="24"/>
          <w:highlight w:val="none"/>
        </w:rPr>
      </w:pPr>
    </w:p>
    <w:p w14:paraId="50B68E23">
      <w:pPr>
        <w:pStyle w:val="47"/>
        <w:spacing w:before="120" w:line="22" w:lineRule="atLeast"/>
        <w:rPr>
          <w:rFonts w:hint="eastAsia" w:ascii="宋体" w:hAnsi="宋体" w:eastAsia="宋体" w:cs="宋体"/>
          <w:color w:val="000000"/>
          <w:szCs w:val="24"/>
          <w:highlight w:val="none"/>
        </w:rPr>
      </w:pPr>
      <w:r>
        <w:rPr>
          <w:rFonts w:hint="eastAsia" w:ascii="宋体" w:hAnsi="宋体" w:eastAsia="宋体" w:cs="宋体"/>
          <w:bCs/>
          <w:color w:val="000000"/>
          <w:highlight w:val="none"/>
        </w:rPr>
        <w:t xml:space="preserve">        项目编号：</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u w:val="single"/>
          <w:lang w:val="en-US" w:eastAsia="zh-CN"/>
        </w:rPr>
        <w:t xml:space="preserve">                          </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 xml:space="preserve">      </w:t>
      </w:r>
    </w:p>
    <w:p w14:paraId="605220CA">
      <w:pPr>
        <w:rPr>
          <w:rFonts w:hint="eastAsia" w:ascii="宋体" w:hAnsi="宋体" w:cs="宋体"/>
          <w:color w:val="000000"/>
          <w:highlight w:val="none"/>
        </w:rPr>
      </w:pPr>
    </w:p>
    <w:p w14:paraId="1A47D308">
      <w:pPr>
        <w:spacing w:before="120" w:line="22" w:lineRule="atLeast"/>
        <w:ind w:left="960"/>
        <w:rPr>
          <w:rFonts w:hint="eastAsia" w:ascii="宋体" w:hAnsi="宋体" w:cs="宋体"/>
          <w:color w:val="000000"/>
          <w:sz w:val="24"/>
          <w:highlight w:val="none"/>
          <w:u w:val="single"/>
        </w:rPr>
      </w:pPr>
      <w:r>
        <w:rPr>
          <w:rFonts w:hint="eastAsia" w:ascii="宋体" w:hAnsi="宋体" w:cs="宋体"/>
          <w:color w:val="000000"/>
          <w:sz w:val="24"/>
          <w:highlight w:val="none"/>
        </w:rPr>
        <w:t>甲方：</w:t>
      </w:r>
      <w:r>
        <w:rPr>
          <w:rFonts w:hint="eastAsia" w:ascii="宋体" w:hAnsi="宋体" w:cs="宋体"/>
          <w:color w:val="000000"/>
          <w:sz w:val="24"/>
          <w:highlight w:val="none"/>
          <w:u w:val="single"/>
        </w:rPr>
        <w:t xml:space="preserve">                                       </w:t>
      </w:r>
    </w:p>
    <w:p w14:paraId="78FB85F0">
      <w:pPr>
        <w:spacing w:before="120" w:line="22" w:lineRule="atLeast"/>
        <w:rPr>
          <w:rFonts w:hint="eastAsia" w:ascii="宋体" w:hAnsi="宋体" w:cs="宋体"/>
          <w:color w:val="000000"/>
          <w:sz w:val="24"/>
          <w:highlight w:val="none"/>
        </w:rPr>
      </w:pPr>
    </w:p>
    <w:p w14:paraId="0FECC365">
      <w:pPr>
        <w:spacing w:before="120" w:line="22" w:lineRule="atLeast"/>
        <w:ind w:left="960"/>
        <w:rPr>
          <w:rFonts w:hint="eastAsia" w:ascii="宋体" w:hAnsi="宋体" w:cs="宋体"/>
          <w:color w:val="000000"/>
          <w:sz w:val="24"/>
          <w:highlight w:val="none"/>
          <w:u w:val="single"/>
        </w:rPr>
      </w:pPr>
      <w:r>
        <w:rPr>
          <w:rFonts w:hint="eastAsia" w:ascii="宋体" w:hAnsi="宋体" w:cs="宋体"/>
          <w:color w:val="000000"/>
          <w:sz w:val="24"/>
          <w:highlight w:val="none"/>
        </w:rPr>
        <w:t>乙方：</w:t>
      </w:r>
      <w:r>
        <w:rPr>
          <w:rFonts w:hint="eastAsia" w:ascii="宋体" w:hAnsi="宋体" w:cs="宋体"/>
          <w:color w:val="000000"/>
          <w:sz w:val="24"/>
          <w:highlight w:val="none"/>
          <w:u w:val="single"/>
        </w:rPr>
        <w:t xml:space="preserve">                                       </w:t>
      </w:r>
    </w:p>
    <w:p w14:paraId="72EA341F">
      <w:pPr>
        <w:spacing w:before="120" w:line="22" w:lineRule="atLeast"/>
        <w:rPr>
          <w:rFonts w:hint="eastAsia" w:ascii="宋体" w:hAnsi="宋体" w:cs="宋体"/>
          <w:color w:val="000000"/>
          <w:sz w:val="24"/>
          <w:highlight w:val="none"/>
        </w:rPr>
      </w:pPr>
    </w:p>
    <w:p w14:paraId="29B9FAD0">
      <w:pPr>
        <w:spacing w:before="120" w:line="22" w:lineRule="atLeast"/>
        <w:ind w:firstLine="960"/>
        <w:rPr>
          <w:rFonts w:hint="eastAsia" w:ascii="宋体" w:hAnsi="宋体" w:cs="宋体"/>
          <w:color w:val="000000"/>
          <w:sz w:val="24"/>
          <w:highlight w:val="none"/>
          <w:u w:val="single"/>
        </w:rPr>
      </w:pPr>
      <w:r>
        <w:rPr>
          <w:rFonts w:hint="eastAsia" w:ascii="宋体" w:hAnsi="宋体" w:cs="宋体"/>
          <w:color w:val="000000"/>
          <w:sz w:val="24"/>
          <w:highlight w:val="none"/>
        </w:rPr>
        <w:t>签订地：</w:t>
      </w:r>
      <w:r>
        <w:rPr>
          <w:rFonts w:hint="eastAsia" w:ascii="宋体" w:hAnsi="宋体" w:cs="宋体"/>
          <w:color w:val="000000"/>
          <w:sz w:val="24"/>
          <w:highlight w:val="none"/>
          <w:u w:val="single"/>
        </w:rPr>
        <w:t xml:space="preserve">                                     </w:t>
      </w:r>
    </w:p>
    <w:p w14:paraId="69041974">
      <w:pPr>
        <w:spacing w:before="120" w:line="22" w:lineRule="atLeast"/>
        <w:rPr>
          <w:rFonts w:hint="eastAsia" w:ascii="宋体" w:hAnsi="宋体" w:cs="宋体"/>
          <w:color w:val="000000"/>
          <w:sz w:val="24"/>
          <w:highlight w:val="none"/>
        </w:rPr>
      </w:pPr>
    </w:p>
    <w:p w14:paraId="4006E783">
      <w:pPr>
        <w:spacing w:before="120" w:line="22" w:lineRule="atLeast"/>
        <w:ind w:firstLine="960"/>
        <w:rPr>
          <w:rFonts w:hint="eastAsia" w:ascii="宋体" w:hAnsi="宋体" w:cs="宋体"/>
          <w:color w:val="000000"/>
          <w:sz w:val="24"/>
          <w:highlight w:val="none"/>
          <w:u w:val="single"/>
        </w:rPr>
      </w:pPr>
      <w:r>
        <w:rPr>
          <w:rFonts w:hint="eastAsia" w:ascii="宋体" w:hAnsi="宋体" w:cs="宋体"/>
          <w:color w:val="000000"/>
          <w:sz w:val="24"/>
          <w:highlight w:val="none"/>
        </w:rPr>
        <w:t>签订日期：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03464C28">
      <w:pPr>
        <w:spacing w:line="600" w:lineRule="exact"/>
        <w:ind w:firstLine="640"/>
        <w:jc w:val="center"/>
        <w:rPr>
          <w:rFonts w:hint="eastAsia" w:ascii="宋体" w:hAnsi="宋体" w:cs="宋体"/>
          <w:color w:val="000000"/>
          <w:sz w:val="24"/>
          <w:highlight w:val="none"/>
        </w:rPr>
        <w:sectPr>
          <w:headerReference r:id="rId5" w:type="default"/>
          <w:footerReference r:id="rId6" w:type="default"/>
          <w:pgSz w:w="11907" w:h="16840"/>
          <w:pgMar w:top="1134" w:right="1134" w:bottom="1134" w:left="1134" w:header="851" w:footer="850" w:gutter="0"/>
          <w:pgNumType w:start="1"/>
          <w:cols w:space="1701" w:num="1"/>
          <w:docGrid w:linePitch="360" w:charSpace="0"/>
        </w:sectPr>
      </w:pPr>
    </w:p>
    <w:p w14:paraId="0F3650EA">
      <w:pPr>
        <w:spacing w:line="560" w:lineRule="exact"/>
        <w:ind w:firstLine="480"/>
        <w:rPr>
          <w:rFonts w:hint="eastAsia" w:ascii="宋体" w:hAnsi="宋体" w:cs="宋体"/>
          <w:color w:val="000000"/>
          <w:sz w:val="24"/>
          <w:highlight w:val="none"/>
        </w:rPr>
      </w:pP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年</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月</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lang w:val="zh-CN"/>
        </w:rPr>
        <w:t>日</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宜兴市</w:t>
      </w:r>
      <w:r>
        <w:rPr>
          <w:rFonts w:hint="eastAsia" w:ascii="宋体" w:hAnsi="宋体" w:cs="宋体"/>
          <w:color w:val="000000"/>
          <w:sz w:val="24"/>
          <w:highlight w:val="none"/>
          <w:u w:val="single"/>
          <w:lang w:val="en-US" w:eastAsia="zh-CN"/>
        </w:rPr>
        <w:t>环保集团有限公司</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以</w:t>
      </w:r>
      <w:r>
        <w:rPr>
          <w:rFonts w:hint="eastAsia" w:ascii="宋体" w:hAnsi="宋体" w:cs="宋体"/>
          <w:color w:val="000000"/>
          <w:sz w:val="24"/>
          <w:highlight w:val="none"/>
          <w:u w:val="single"/>
        </w:rPr>
        <w:t xml:space="preserve">公开招标采购方式 </w:t>
      </w:r>
      <w:r>
        <w:rPr>
          <w:rFonts w:hint="eastAsia" w:ascii="宋体" w:hAnsi="宋体" w:cs="宋体"/>
          <w:color w:val="000000"/>
          <w:sz w:val="24"/>
          <w:highlight w:val="none"/>
        </w:rPr>
        <w:t>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宜兴市环科园喷涂“绿岛”项目深度调研服务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进行了采购。经</w:t>
      </w:r>
      <w:r>
        <w:rPr>
          <w:rFonts w:hint="eastAsia" w:ascii="宋体" w:hAnsi="宋体"/>
          <w:bCs/>
          <w:color w:val="000000"/>
          <w:sz w:val="24"/>
          <w:szCs w:val="24"/>
          <w:highlight w:val="none"/>
          <w:lang w:val="zh-CN"/>
        </w:rPr>
        <w:t>评标委员会</w:t>
      </w:r>
      <w:r>
        <w:rPr>
          <w:rFonts w:hint="eastAsia" w:ascii="宋体" w:hAnsi="宋体" w:cs="宋体"/>
          <w:color w:val="000000"/>
          <w:sz w:val="24"/>
          <w:highlight w:val="none"/>
        </w:rPr>
        <w:t>评审，</w:t>
      </w:r>
      <w:r>
        <w:rPr>
          <w:rFonts w:hint="eastAsia" w:ascii="宋体" w:hAnsi="宋体" w:cs="宋体"/>
          <w:color w:val="000000"/>
          <w:sz w:val="24"/>
          <w:highlight w:val="none"/>
          <w:lang w:eastAsia="zh-CN"/>
        </w:rPr>
        <w:t>宜兴市</w:t>
      </w:r>
      <w:r>
        <w:rPr>
          <w:rFonts w:hint="eastAsia" w:ascii="宋体" w:hAnsi="宋体" w:cs="宋体"/>
          <w:color w:val="000000"/>
          <w:sz w:val="24"/>
          <w:highlight w:val="none"/>
          <w:lang w:val="en-US" w:eastAsia="zh-CN"/>
        </w:rPr>
        <w:t>环保集团有限公司</w:t>
      </w:r>
      <w:r>
        <w:rPr>
          <w:rFonts w:hint="eastAsia" w:ascii="宋体" w:hAnsi="宋体" w:cs="宋体"/>
          <w:color w:val="000000"/>
          <w:sz w:val="24"/>
          <w:highlight w:val="none"/>
        </w:rPr>
        <w:t xml:space="preserve">确定 </w:t>
      </w:r>
      <w:r>
        <w:rPr>
          <w:rFonts w:hint="eastAsia" w:ascii="宋体" w:hAnsi="宋体" w:cs="宋体"/>
          <w:color w:val="000000"/>
          <w:sz w:val="24"/>
          <w:highlight w:val="none"/>
          <w:u w:val="single"/>
        </w:rPr>
        <w:t>（中标供应商名称）</w:t>
      </w:r>
      <w:r>
        <w:rPr>
          <w:rFonts w:hint="eastAsia" w:ascii="宋体" w:hAnsi="宋体" w:cs="宋体"/>
          <w:color w:val="000000"/>
          <w:sz w:val="24"/>
          <w:highlight w:val="none"/>
        </w:rPr>
        <w:t>为该项目中标供应商。现于中标通知书发出之日起三十日内，按照采购文件确定的事项签订本合同。</w:t>
      </w:r>
    </w:p>
    <w:p w14:paraId="3A85DF0D">
      <w:pPr>
        <w:spacing w:line="560" w:lineRule="exact"/>
        <w:ind w:firstLine="480"/>
        <w:rPr>
          <w:rFonts w:hint="eastAsia" w:ascii="宋体" w:hAnsi="宋体" w:cs="宋体"/>
          <w:color w:val="000000"/>
          <w:sz w:val="24"/>
          <w:highlight w:val="none"/>
        </w:rPr>
      </w:pPr>
      <w:r>
        <w:rPr>
          <w:rFonts w:hint="eastAsia" w:ascii="宋体" w:hAnsi="宋体" w:cs="宋体"/>
          <w:color w:val="000000"/>
          <w:sz w:val="24"/>
          <w:highlight w:val="none"/>
          <w:lang w:val="zh-CN"/>
        </w:rPr>
        <w:t>根据相关法律法规之规定，按照平等、自愿、公平和诚实信用的原则，经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eastAsia="zh-CN"/>
        </w:rPr>
        <w:t>宜兴市</w:t>
      </w:r>
      <w:r>
        <w:rPr>
          <w:rFonts w:hint="eastAsia" w:ascii="宋体" w:hAnsi="宋体" w:cs="宋体"/>
          <w:color w:val="000000"/>
          <w:sz w:val="24"/>
          <w:highlight w:val="none"/>
          <w:u w:val="single"/>
          <w:lang w:val="en-US" w:eastAsia="zh-CN"/>
        </w:rPr>
        <w:t>环保集团有限公司</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lang w:val="zh-CN"/>
        </w:rPr>
        <w:t>(以下简称：甲方)和</w:t>
      </w:r>
      <w:r>
        <w:rPr>
          <w:rFonts w:hint="eastAsia" w:ascii="宋体" w:hAnsi="宋体" w:cs="宋体"/>
          <w:color w:val="000000"/>
          <w:sz w:val="24"/>
          <w:highlight w:val="none"/>
          <w:u w:val="single"/>
        </w:rPr>
        <w:t xml:space="preserve"> （中标供应商名称）</w:t>
      </w:r>
      <w:r>
        <w:rPr>
          <w:rFonts w:hint="eastAsia" w:ascii="宋体" w:hAnsi="宋体" w:cs="宋体"/>
          <w:color w:val="000000"/>
          <w:sz w:val="24"/>
          <w:highlight w:val="none"/>
          <w:lang w:val="zh-CN"/>
        </w:rPr>
        <w:t>(以下简称：乙方)协商一致，约定以下合同</w:t>
      </w:r>
      <w:r>
        <w:rPr>
          <w:rFonts w:hint="eastAsia" w:ascii="宋体" w:hAnsi="宋体" w:cs="宋体"/>
          <w:color w:val="000000"/>
          <w:sz w:val="24"/>
          <w:highlight w:val="none"/>
        </w:rPr>
        <w:t>条款，以兹共同遵守、全面履行。</w:t>
      </w:r>
    </w:p>
    <w:p w14:paraId="598FBEE7">
      <w:pPr>
        <w:spacing w:line="560" w:lineRule="exact"/>
        <w:ind w:firstLine="482" w:firstLineChars="200"/>
        <w:rPr>
          <w:rFonts w:ascii="宋体" w:hAnsi="宋体" w:eastAsia="宋体" w:cs="宋体"/>
          <w:color w:val="000000"/>
          <w:sz w:val="24"/>
          <w:szCs w:val="24"/>
          <w:highlight w:val="none"/>
        </w:rPr>
      </w:pPr>
      <w:bookmarkStart w:id="76" w:name="_Toc20421"/>
      <w:bookmarkStart w:id="77" w:name="_Toc28855"/>
      <w:bookmarkStart w:id="78" w:name="_Toc19273"/>
      <w:bookmarkStart w:id="79" w:name="_Toc22967"/>
      <w:bookmarkStart w:id="80" w:name="_Toc15367"/>
      <w:bookmarkStart w:id="81" w:name="_Toc3743"/>
      <w:bookmarkStart w:id="82" w:name="_Toc27444"/>
      <w:r>
        <w:rPr>
          <w:rFonts w:hint="eastAsia" w:ascii="宋体" w:hAnsi="宋体" w:eastAsia="宋体" w:cs="宋体"/>
          <w:b/>
          <w:color w:val="000000"/>
          <w:sz w:val="24"/>
          <w:szCs w:val="24"/>
          <w:highlight w:val="none"/>
        </w:rPr>
        <w:t>1.1 合同组成部分</w:t>
      </w:r>
      <w:bookmarkEnd w:id="76"/>
      <w:bookmarkEnd w:id="77"/>
      <w:bookmarkEnd w:id="78"/>
      <w:bookmarkEnd w:id="79"/>
      <w:bookmarkEnd w:id="80"/>
    </w:p>
    <w:p w14:paraId="1D6041C6">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EA9A53">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本合同及其补充合同、变更协议；</w:t>
      </w:r>
    </w:p>
    <w:p w14:paraId="78834917">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中标通知书；</w:t>
      </w:r>
    </w:p>
    <w:p w14:paraId="401AF948">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投标文件（含澄清或者说明文件）；</w:t>
      </w:r>
    </w:p>
    <w:p w14:paraId="4FE6E665">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招标文件（含澄清或者修改文件）；</w:t>
      </w:r>
    </w:p>
    <w:p w14:paraId="2AB261EF">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其他相关采购文件。</w:t>
      </w:r>
    </w:p>
    <w:p w14:paraId="19ECDA49">
      <w:pPr>
        <w:spacing w:line="560" w:lineRule="exact"/>
        <w:ind w:firstLine="482" w:firstLineChars="200"/>
        <w:rPr>
          <w:rFonts w:ascii="宋体" w:hAnsi="宋体" w:eastAsia="宋体" w:cs="宋体"/>
          <w:b/>
          <w:color w:val="000000"/>
          <w:sz w:val="24"/>
          <w:szCs w:val="24"/>
          <w:highlight w:val="none"/>
        </w:rPr>
      </w:pPr>
      <w:bookmarkStart w:id="83" w:name="_Toc18585"/>
      <w:bookmarkStart w:id="84" w:name="_Toc22185"/>
      <w:bookmarkStart w:id="85" w:name="_Toc6773"/>
      <w:bookmarkStart w:id="86" w:name="_Toc6311"/>
      <w:bookmarkStart w:id="87" w:name="_Toc2918"/>
      <w:r>
        <w:rPr>
          <w:rFonts w:hint="eastAsia" w:ascii="宋体" w:hAnsi="宋体" w:eastAsia="宋体" w:cs="宋体"/>
          <w:b/>
          <w:color w:val="000000"/>
          <w:sz w:val="24"/>
          <w:szCs w:val="24"/>
          <w:highlight w:val="none"/>
        </w:rPr>
        <w:t>1.2 标的</w:t>
      </w:r>
      <w:bookmarkEnd w:id="83"/>
      <w:bookmarkEnd w:id="84"/>
      <w:bookmarkEnd w:id="85"/>
      <w:bookmarkEnd w:id="86"/>
      <w:bookmarkEnd w:id="87"/>
    </w:p>
    <w:p w14:paraId="6814E8EE">
      <w:pPr>
        <w:spacing w:line="560" w:lineRule="exact"/>
        <w:ind w:firstLine="480" w:firstLineChars="200"/>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1.2.1 标的名称：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A2003D8">
      <w:pPr>
        <w:spacing w:line="560" w:lineRule="exact"/>
        <w:ind w:firstLine="480" w:firstLineChars="200"/>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1.2.2 标的数量：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FD24B26">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标的质量：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68A4D58">
      <w:pPr>
        <w:spacing w:line="560" w:lineRule="exact"/>
        <w:ind w:firstLine="482" w:firstLineChars="200"/>
        <w:rPr>
          <w:rFonts w:ascii="宋体" w:hAnsi="宋体" w:eastAsia="宋体" w:cs="宋体"/>
          <w:b/>
          <w:color w:val="000000"/>
          <w:sz w:val="24"/>
          <w:szCs w:val="24"/>
          <w:highlight w:val="none"/>
        </w:rPr>
      </w:pPr>
      <w:bookmarkStart w:id="88" w:name="_Toc21124"/>
      <w:bookmarkStart w:id="89" w:name="_Toc5635"/>
      <w:bookmarkStart w:id="90" w:name="_Toc1386"/>
      <w:bookmarkStart w:id="91" w:name="_Toc4929"/>
      <w:bookmarkStart w:id="92" w:name="_Toc13918"/>
      <w:r>
        <w:rPr>
          <w:rFonts w:hint="eastAsia" w:ascii="宋体" w:hAnsi="宋体" w:eastAsia="宋体" w:cs="宋体"/>
          <w:b/>
          <w:color w:val="000000"/>
          <w:sz w:val="24"/>
          <w:szCs w:val="24"/>
          <w:highlight w:val="none"/>
        </w:rPr>
        <w:t>1.3 价款</w:t>
      </w:r>
      <w:bookmarkEnd w:id="88"/>
      <w:bookmarkEnd w:id="89"/>
      <w:bookmarkEnd w:id="90"/>
      <w:bookmarkEnd w:id="91"/>
      <w:bookmarkEnd w:id="92"/>
    </w:p>
    <w:p w14:paraId="1B8BCCA3">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本合同总价为：￥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元人民币）。</w:t>
      </w:r>
    </w:p>
    <w:p w14:paraId="30C36BD7">
      <w:pPr>
        <w:spacing w:line="560" w:lineRule="exact"/>
        <w:ind w:firstLine="482" w:firstLineChars="200"/>
        <w:rPr>
          <w:rFonts w:ascii="宋体" w:hAnsi="宋体" w:eastAsia="宋体" w:cs="宋体"/>
          <w:b/>
          <w:color w:val="000000"/>
          <w:sz w:val="24"/>
          <w:szCs w:val="24"/>
          <w:highlight w:val="none"/>
        </w:rPr>
      </w:pPr>
      <w:bookmarkStart w:id="93" w:name="_Toc30158"/>
      <w:bookmarkStart w:id="94" w:name="_Toc30506"/>
      <w:bookmarkStart w:id="95" w:name="_Toc14993"/>
      <w:bookmarkStart w:id="96" w:name="_Toc26916"/>
      <w:bookmarkStart w:id="97" w:name="_Toc3654"/>
      <w:r>
        <w:rPr>
          <w:rFonts w:hint="eastAsia" w:ascii="宋体" w:hAnsi="宋体" w:eastAsia="宋体" w:cs="宋体"/>
          <w:b/>
          <w:color w:val="000000"/>
          <w:sz w:val="24"/>
          <w:szCs w:val="24"/>
          <w:highlight w:val="none"/>
        </w:rPr>
        <w:t>1.4 付款方式和发票开具方式</w:t>
      </w:r>
      <w:bookmarkEnd w:id="93"/>
      <w:bookmarkEnd w:id="94"/>
      <w:bookmarkEnd w:id="95"/>
      <w:bookmarkEnd w:id="96"/>
      <w:bookmarkEnd w:id="97"/>
    </w:p>
    <w:p w14:paraId="30113A8C">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1.4.1付款方式：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2DC3FE4">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发票开具方式：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6786130C">
      <w:pPr>
        <w:spacing w:line="560" w:lineRule="exact"/>
        <w:ind w:firstLine="482" w:firstLineChars="200"/>
        <w:rPr>
          <w:rFonts w:ascii="宋体" w:hAnsi="宋体" w:eastAsia="宋体" w:cs="宋体"/>
          <w:b/>
          <w:color w:val="000000"/>
          <w:sz w:val="24"/>
          <w:szCs w:val="24"/>
          <w:highlight w:val="none"/>
        </w:rPr>
      </w:pPr>
      <w:bookmarkStart w:id="98" w:name="_Toc4760"/>
      <w:bookmarkStart w:id="99" w:name="_Toc11108"/>
      <w:bookmarkStart w:id="100" w:name="_Toc8772"/>
      <w:bookmarkStart w:id="101" w:name="_Toc31421"/>
      <w:bookmarkStart w:id="102" w:name="_Toc3625"/>
      <w:r>
        <w:rPr>
          <w:rFonts w:hint="eastAsia" w:ascii="宋体" w:hAnsi="宋体" w:eastAsia="宋体" w:cs="宋体"/>
          <w:b/>
          <w:color w:val="000000"/>
          <w:sz w:val="24"/>
          <w:szCs w:val="24"/>
          <w:highlight w:val="none"/>
        </w:rPr>
        <w:t>1.5 履行期限、地点和方式</w:t>
      </w:r>
      <w:bookmarkEnd w:id="98"/>
      <w:bookmarkEnd w:id="99"/>
      <w:bookmarkEnd w:id="100"/>
      <w:bookmarkEnd w:id="101"/>
      <w:bookmarkEnd w:id="102"/>
    </w:p>
    <w:p w14:paraId="0BA96756">
      <w:pPr>
        <w:spacing w:line="560" w:lineRule="exact"/>
        <w:ind w:firstLine="480" w:firstLineChars="200"/>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1.5.1 履行期限：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284880D">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1.5.2 履行地点：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EDD03EC">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履行方式：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ACE9D3C">
      <w:pPr>
        <w:spacing w:line="560" w:lineRule="exact"/>
        <w:ind w:firstLine="482" w:firstLineChars="200"/>
        <w:rPr>
          <w:rFonts w:ascii="宋体" w:hAnsi="宋体" w:eastAsia="宋体" w:cs="宋体"/>
          <w:color w:val="000000"/>
          <w:sz w:val="24"/>
          <w:szCs w:val="24"/>
          <w:highlight w:val="none"/>
          <w:u w:val="single"/>
        </w:rPr>
      </w:pPr>
      <w:bookmarkStart w:id="103" w:name="_Toc3079"/>
      <w:bookmarkStart w:id="104" w:name="_Toc2375"/>
      <w:bookmarkStart w:id="105" w:name="_Toc5698"/>
      <w:bookmarkStart w:id="106" w:name="_Toc8586"/>
      <w:bookmarkStart w:id="107" w:name="_Toc24662"/>
      <w:r>
        <w:rPr>
          <w:rFonts w:hint="eastAsia" w:ascii="宋体" w:hAnsi="宋体" w:eastAsia="宋体" w:cs="宋体"/>
          <w:b/>
          <w:color w:val="000000"/>
          <w:sz w:val="24"/>
          <w:szCs w:val="24"/>
          <w:highlight w:val="none"/>
        </w:rPr>
        <w:t>1.6 违约责任</w:t>
      </w:r>
      <w:bookmarkEnd w:id="103"/>
      <w:bookmarkEnd w:id="104"/>
      <w:bookmarkEnd w:id="105"/>
      <w:bookmarkEnd w:id="106"/>
      <w:bookmarkEnd w:id="107"/>
    </w:p>
    <w:p w14:paraId="37060C97">
      <w:pPr>
        <w:spacing w:line="560" w:lineRule="exact"/>
        <w:ind w:firstLine="480" w:firstLineChars="200"/>
        <w:rPr>
          <w:rFonts w:ascii="宋体" w:hAnsi="宋体" w:eastAsia="宋体" w:cs="宋体"/>
          <w:sz w:val="24"/>
          <w:szCs w:val="24"/>
          <w:highlight w:val="none"/>
        </w:rPr>
      </w:pPr>
      <w:bookmarkStart w:id="108" w:name="_Toc9497"/>
      <w:bookmarkStart w:id="109" w:name="_Toc32454"/>
      <w:bookmarkStart w:id="110" w:name="_Toc26807"/>
      <w:bookmarkStart w:id="111" w:name="_Toc30329"/>
      <w:bookmarkStart w:id="112" w:name="_Toc18683"/>
      <w:r>
        <w:rPr>
          <w:rFonts w:hint="eastAsia" w:ascii="宋体" w:hAnsi="宋体" w:eastAsia="宋体" w:cs="宋体"/>
          <w:sz w:val="24"/>
          <w:szCs w:val="24"/>
          <w:highlight w:val="none"/>
        </w:rPr>
        <w:t>1.6.1除不可抗力外，如果乙方没有按照本合同约定的期限、地点和方式履行服务，那么甲方可要求乙方支付违约金，违约金按每迟延履行一日的应提供而未提供服务价格的</w:t>
      </w:r>
      <w:r>
        <w:rPr>
          <w:rFonts w:hint="eastAsia" w:ascii="宋体" w:hAnsi="宋体" w:cs="宋体"/>
          <w:sz w:val="24"/>
          <w:szCs w:val="24"/>
          <w:highlight w:val="none"/>
          <w:u w:val="single"/>
          <w:lang w:val="en-US" w:eastAsia="zh-CN"/>
        </w:rPr>
        <w:t>2000/天</w:t>
      </w:r>
      <w:r>
        <w:rPr>
          <w:rFonts w:hint="eastAsia" w:ascii="宋体" w:hAnsi="宋体" w:eastAsia="宋体" w:cs="宋体"/>
          <w:sz w:val="24"/>
          <w:szCs w:val="24"/>
          <w:highlight w:val="none"/>
        </w:rPr>
        <w:t>计算，最高限额为本合同总价的</w:t>
      </w:r>
      <w:r>
        <w:rPr>
          <w:rFonts w:hint="eastAsia" w:ascii="宋体" w:hAnsi="宋体" w:cs="宋体"/>
          <w:sz w:val="24"/>
          <w:szCs w:val="24"/>
          <w:highlight w:val="none"/>
          <w:u w:val="single"/>
          <w:lang w:val="en-US" w:eastAsia="zh-CN"/>
        </w:rPr>
        <w:t>20</w:t>
      </w:r>
      <w:r>
        <w:rPr>
          <w:rFonts w:ascii="宋体" w:hAnsi="宋体" w:eastAsia="宋体" w:cs="宋体"/>
          <w:sz w:val="24"/>
          <w:szCs w:val="24"/>
          <w:highlight w:val="none"/>
        </w:rPr>
        <w:t>%</w:t>
      </w:r>
      <w:r>
        <w:rPr>
          <w:rFonts w:hint="eastAsia" w:ascii="宋体" w:hAnsi="宋体" w:eastAsia="宋体" w:cs="宋体"/>
          <w:sz w:val="24"/>
          <w:szCs w:val="24"/>
          <w:highlight w:val="none"/>
        </w:rPr>
        <w:t>；迟延履行的违约金计算数额达到前述最高限额之日起，甲方有权在要求乙方支付违约金的同时，书面通知乙方解除本合同；</w:t>
      </w:r>
    </w:p>
    <w:p w14:paraId="7D518191">
      <w:pPr>
        <w:spacing w:line="5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5D399BB">
      <w:pPr>
        <w:spacing w:line="5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8D2790">
      <w:pPr>
        <w:spacing w:line="560" w:lineRule="exact"/>
        <w:ind w:firstLine="480" w:firstLineChars="200"/>
        <w:rPr>
          <w:rFonts w:ascii="宋体" w:hAnsi="宋体" w:eastAsia="宋体" w:cs="宋体"/>
          <w:sz w:val="24"/>
          <w:szCs w:val="24"/>
          <w:highlight w:val="none"/>
        </w:rPr>
      </w:pPr>
      <w:r>
        <w:rPr>
          <w:rFonts w:hint="eastAsia" w:ascii="宋体" w:hAnsi="宋体" w:eastAsia="宋体" w:cs="Times New Roman"/>
          <w:bCs/>
          <w:sz w:val="24"/>
          <w:szCs w:val="20"/>
          <w:highlight w:val="none"/>
        </w:rPr>
        <w:t>1.6.</w:t>
      </w:r>
      <w:r>
        <w:rPr>
          <w:rFonts w:hint="eastAsia" w:ascii="宋体" w:hAnsi="宋体" w:cs="Times New Roman"/>
          <w:bCs/>
          <w:sz w:val="24"/>
          <w:szCs w:val="20"/>
          <w:highlight w:val="none"/>
          <w:lang w:val="en-US" w:eastAsia="zh-CN"/>
        </w:rPr>
        <w:t>4</w:t>
      </w:r>
      <w:r>
        <w:rPr>
          <w:rFonts w:hint="eastAsia" w:ascii="宋体" w:hAnsi="宋体" w:eastAsia="宋体" w:cs="Times New Roman"/>
          <w:bCs/>
          <w:sz w:val="24"/>
          <w:szCs w:val="20"/>
          <w:highlight w:val="none"/>
        </w:rPr>
        <w:t xml:space="preserve"> </w:t>
      </w:r>
      <w:r>
        <w:rPr>
          <w:rFonts w:hint="eastAsia" w:ascii="宋体" w:hAnsi="宋体" w:eastAsia="宋体" w:cs="Times New Roman"/>
          <w:bCs/>
          <w:sz w:val="24"/>
          <w:szCs w:val="20"/>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3ECB60D9">
      <w:pPr>
        <w:spacing w:line="5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7D02BB">
      <w:pPr>
        <w:spacing w:line="5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如果出现采购监督管理部门在处理投诉事项期间，书面通知甲方暂停采购活动的情形，或者询问或质疑事项可能影响中标结果的，导致甲方中止履行合同的情形，均不视为甲方违约。</w:t>
      </w:r>
    </w:p>
    <w:p w14:paraId="20245779">
      <w:pPr>
        <w:spacing w:line="56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1.7 合同争议的解决</w:t>
      </w:r>
      <w:bookmarkEnd w:id="108"/>
      <w:bookmarkEnd w:id="109"/>
      <w:bookmarkEnd w:id="110"/>
      <w:bookmarkEnd w:id="111"/>
      <w:bookmarkEnd w:id="112"/>
    </w:p>
    <w:p w14:paraId="0F4A429D">
      <w:pPr>
        <w:spacing w:line="560" w:lineRule="exact"/>
        <w:ind w:firstLine="480" w:firstLineChars="200"/>
        <w:rPr>
          <w:rFonts w:hint="eastAsia" w:ascii="宋体" w:hAnsi="宋体" w:eastAsia="宋体" w:cs="宋体"/>
          <w:sz w:val="24"/>
          <w:szCs w:val="24"/>
          <w:highlight w:val="none"/>
        </w:rPr>
      </w:pPr>
      <w:bookmarkStart w:id="113" w:name="_Toc15827"/>
      <w:bookmarkStart w:id="114" w:name="_Toc23784"/>
      <w:bookmarkStart w:id="115" w:name="_Toc12273"/>
      <w:bookmarkStart w:id="116" w:name="_Toc16417"/>
      <w:bookmarkStart w:id="117" w:name="_Toc26227"/>
      <w:r>
        <w:rPr>
          <w:rFonts w:hint="eastAsia" w:ascii="宋体" w:hAnsi="宋体" w:eastAsia="宋体" w:cs="宋体"/>
          <w:sz w:val="24"/>
          <w:szCs w:val="24"/>
          <w:highlight w:val="none"/>
        </w:rPr>
        <w:t>1.7.1 本合同履行过程中发生的任何争议，双方当事人均可通过和解或者调解解决；不愿和解、调解或者和解、调解不成的，可以选择下列第</w:t>
      </w:r>
      <w:r>
        <w:rPr>
          <w:rFonts w:hint="eastAsia" w:ascii="宋体" w:hAnsi="宋体" w:cs="宋体"/>
          <w:sz w:val="24"/>
          <w:szCs w:val="24"/>
          <w:highlight w:val="none"/>
          <w:u w:val="single"/>
        </w:rPr>
        <w:t xml:space="preserve"> </w:t>
      </w:r>
      <w:r>
        <w:rPr>
          <w:rFonts w:hint="eastAsia" w:ascii="宋体" w:hAnsi="宋体" w:eastAsia="宋体" w:cs="宋体"/>
          <w:sz w:val="24"/>
          <w:szCs w:val="24"/>
          <w:highlight w:val="none"/>
          <w:u w:val="single"/>
        </w:rPr>
        <w:t>②</w:t>
      </w:r>
      <w:r>
        <w:rPr>
          <w:rFonts w:hint="eastAsia" w:ascii="宋体" w:hAnsi="宋体" w:cs="宋体"/>
          <w:sz w:val="24"/>
          <w:szCs w:val="24"/>
          <w:highlight w:val="none"/>
          <w:u w:val="single"/>
        </w:rPr>
        <w:t xml:space="preserve"> </w:t>
      </w:r>
      <w:r>
        <w:rPr>
          <w:rFonts w:hint="eastAsia" w:ascii="宋体" w:hAnsi="宋体" w:eastAsia="宋体" w:cs="宋体"/>
          <w:sz w:val="24"/>
          <w:szCs w:val="24"/>
          <w:highlight w:val="none"/>
        </w:rPr>
        <w:t>种方式解决：</w:t>
      </w:r>
    </w:p>
    <w:p w14:paraId="623550C9">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①将争议提交甲方所在地（宜兴）仲裁委员会依申请仲裁时其现行有效的仲裁规则裁决；</w:t>
      </w:r>
    </w:p>
    <w:p w14:paraId="5280228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②向甲方所在地（宜兴）人民法院起诉。</w:t>
      </w:r>
    </w:p>
    <w:p w14:paraId="2FF062A6">
      <w:pPr>
        <w:spacing w:line="56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1.8 合同生效</w:t>
      </w:r>
      <w:bookmarkEnd w:id="113"/>
      <w:bookmarkEnd w:id="114"/>
      <w:bookmarkEnd w:id="115"/>
      <w:bookmarkEnd w:id="116"/>
      <w:bookmarkEnd w:id="117"/>
    </w:p>
    <w:p w14:paraId="71767E8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 本合同</w:t>
      </w:r>
      <w:r>
        <w:rPr>
          <w:rFonts w:hint="eastAsia" w:ascii="宋体" w:hAnsi="宋体" w:eastAsia="宋体" w:cs="宋体"/>
          <w:sz w:val="24"/>
          <w:szCs w:val="24"/>
          <w:highlight w:val="none"/>
          <w:lang w:val="zh-CN"/>
        </w:rPr>
        <w:t>经甲乙双方代表签字并加盖公章（或合同章）后即生效。</w:t>
      </w:r>
    </w:p>
    <w:p w14:paraId="7EA01650">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1.8.2 本合同一式陆份，供需双方各持贰份，报送监管部门备案一份、代理公司一份。</w:t>
      </w:r>
    </w:p>
    <w:p w14:paraId="6C80DAF6">
      <w:pPr>
        <w:autoSpaceDE w:val="0"/>
        <w:autoSpaceDN w:val="0"/>
        <w:adjustRightInd w:val="0"/>
        <w:spacing w:line="560" w:lineRule="exact"/>
        <w:ind w:firstLine="480"/>
        <w:rPr>
          <w:rFonts w:ascii="宋体" w:hAnsi="宋体" w:eastAsia="宋体" w:cs="宋体"/>
          <w:color w:val="000000"/>
          <w:sz w:val="24"/>
          <w:szCs w:val="20"/>
          <w:highlight w:val="none"/>
        </w:rPr>
      </w:pPr>
    </w:p>
    <w:p w14:paraId="2920F838">
      <w:pPr>
        <w:autoSpaceDE w:val="0"/>
        <w:autoSpaceDN w:val="0"/>
        <w:adjustRightInd w:val="0"/>
        <w:spacing w:line="560" w:lineRule="exact"/>
        <w:ind w:firstLine="480"/>
        <w:rPr>
          <w:rFonts w:ascii="宋体" w:hAnsi="宋体" w:eastAsia="宋体" w:cs="宋体"/>
          <w:color w:val="000000"/>
          <w:sz w:val="24"/>
          <w:szCs w:val="20"/>
          <w:highlight w:val="none"/>
        </w:rPr>
      </w:pPr>
    </w:p>
    <w:p w14:paraId="282563E9">
      <w:pPr>
        <w:pStyle w:val="67"/>
        <w:rPr>
          <w:highlight w:val="none"/>
        </w:rPr>
      </w:pPr>
    </w:p>
    <w:p w14:paraId="10672BEB">
      <w:pPr>
        <w:pStyle w:val="67"/>
        <w:rPr>
          <w:highlight w:val="none"/>
        </w:rPr>
      </w:pPr>
    </w:p>
    <w:p w14:paraId="69DDA3F9">
      <w:pPr>
        <w:pStyle w:val="67"/>
        <w:rPr>
          <w:highlight w:val="none"/>
        </w:rPr>
      </w:pPr>
    </w:p>
    <w:p w14:paraId="7CE361D4">
      <w:pPr>
        <w:pStyle w:val="67"/>
        <w:rPr>
          <w:highlight w:val="none"/>
        </w:rPr>
      </w:pPr>
    </w:p>
    <w:p w14:paraId="1DDDCFFC">
      <w:pPr>
        <w:pStyle w:val="67"/>
        <w:rPr>
          <w:highlight w:val="none"/>
        </w:rPr>
      </w:pPr>
    </w:p>
    <w:p w14:paraId="368264DD">
      <w:pPr>
        <w:pStyle w:val="67"/>
        <w:rPr>
          <w:highlight w:val="none"/>
        </w:rPr>
      </w:pPr>
    </w:p>
    <w:p w14:paraId="563E61C1">
      <w:pPr>
        <w:pStyle w:val="67"/>
        <w:rPr>
          <w:highlight w:val="none"/>
        </w:rPr>
      </w:pPr>
    </w:p>
    <w:p w14:paraId="63AEC08E">
      <w:pPr>
        <w:pStyle w:val="67"/>
        <w:rPr>
          <w:highlight w:val="none"/>
        </w:rPr>
      </w:pPr>
    </w:p>
    <w:p w14:paraId="0AF0BE82">
      <w:pPr>
        <w:pStyle w:val="67"/>
        <w:rPr>
          <w:highlight w:val="none"/>
        </w:rPr>
      </w:pPr>
    </w:p>
    <w:p w14:paraId="6D27C7EF">
      <w:pPr>
        <w:autoSpaceDE w:val="0"/>
        <w:autoSpaceDN w:val="0"/>
        <w:adjustRightInd w:val="0"/>
        <w:spacing w:line="560" w:lineRule="exact"/>
        <w:ind w:firstLine="1265" w:firstLineChars="525"/>
        <w:rPr>
          <w:rFonts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甲方</w:t>
      </w:r>
      <w:r>
        <w:rPr>
          <w:rFonts w:hint="eastAsia" w:ascii="宋体" w:hAnsi="宋体" w:eastAsia="宋体" w:cs="宋体"/>
          <w:color w:val="000000"/>
          <w:sz w:val="24"/>
          <w:szCs w:val="24"/>
          <w:highlight w:val="none"/>
          <w:lang w:val="zh-CN"/>
        </w:rPr>
        <w:t xml:space="preserve">：                             </w:t>
      </w:r>
      <w:r>
        <w:rPr>
          <w:rFonts w:hint="eastAsia" w:ascii="宋体" w:hAnsi="宋体" w:eastAsia="宋体" w:cs="宋体"/>
          <w:b/>
          <w:color w:val="000000"/>
          <w:sz w:val="24"/>
          <w:szCs w:val="24"/>
          <w:highlight w:val="none"/>
          <w:lang w:val="zh-CN"/>
        </w:rPr>
        <w:t xml:space="preserve">      乙方</w:t>
      </w:r>
      <w:r>
        <w:rPr>
          <w:rFonts w:hint="eastAsia" w:ascii="宋体" w:hAnsi="宋体" w:eastAsia="宋体" w:cs="宋体"/>
          <w:color w:val="000000"/>
          <w:sz w:val="24"/>
          <w:szCs w:val="24"/>
          <w:highlight w:val="none"/>
          <w:lang w:val="zh-CN"/>
        </w:rPr>
        <w:t>：</w:t>
      </w:r>
    </w:p>
    <w:p w14:paraId="1F0FBA5D">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统一社会信用代码：                        统一社会信用代码或身份证号码：</w:t>
      </w:r>
    </w:p>
    <w:p w14:paraId="1D73B78D">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p>
    <w:p w14:paraId="07A8D55A">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住所：                                   住所：</w:t>
      </w:r>
    </w:p>
    <w:p w14:paraId="3E052AE8">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法定代表人或                             法定代表人</w:t>
      </w:r>
    </w:p>
    <w:p w14:paraId="77902343">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授权代表（签字）：                        或授权代表（签字）: </w:t>
      </w:r>
    </w:p>
    <w:p w14:paraId="71AC0F10">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联系人：                                 联系人：</w:t>
      </w:r>
    </w:p>
    <w:p w14:paraId="20757944">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约定送达地址：                           约定送达地址：</w:t>
      </w:r>
    </w:p>
    <w:p w14:paraId="0A3B39C8">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邮政编码：                               邮政编码：</w:t>
      </w:r>
    </w:p>
    <w:p w14:paraId="4E1D0FD4">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电话:                                    电话: </w:t>
      </w:r>
    </w:p>
    <w:p w14:paraId="0718964A">
      <w:pPr>
        <w:autoSpaceDE w:val="0"/>
        <w:autoSpaceDN w:val="0"/>
        <w:adjustRightInd w:val="0"/>
        <w:spacing w:line="560" w:lineRule="exact"/>
        <w:ind w:firstLine="1260" w:firstLineChars="525"/>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传真:                                    传真:</w:t>
      </w:r>
    </w:p>
    <w:p w14:paraId="48E792EE">
      <w:pPr>
        <w:autoSpaceDE w:val="0"/>
        <w:autoSpaceDN w:val="0"/>
        <w:adjustRightInd w:val="0"/>
        <w:spacing w:line="560" w:lineRule="exact"/>
        <w:ind w:firstLine="1260" w:firstLineChars="525"/>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电子邮箱：                               电子邮箱：</w:t>
      </w:r>
    </w:p>
    <w:p w14:paraId="4DF66FEC">
      <w:pPr>
        <w:autoSpaceDE w:val="0"/>
        <w:autoSpaceDN w:val="0"/>
        <w:adjustRightInd w:val="0"/>
        <w:spacing w:line="560" w:lineRule="exact"/>
        <w:ind w:firstLine="1260" w:firstLineChars="525"/>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开户银行：                               开户银行： </w:t>
      </w:r>
    </w:p>
    <w:p w14:paraId="38ED1158">
      <w:pPr>
        <w:autoSpaceDE w:val="0"/>
        <w:autoSpaceDN w:val="0"/>
        <w:adjustRightInd w:val="0"/>
        <w:spacing w:line="560" w:lineRule="exact"/>
        <w:ind w:firstLine="1260" w:firstLineChars="525"/>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开户名称：                               开户名称： </w:t>
      </w:r>
    </w:p>
    <w:p w14:paraId="252DBB9E">
      <w:pPr>
        <w:autoSpaceDE w:val="0"/>
        <w:autoSpaceDN w:val="0"/>
        <w:adjustRightInd w:val="0"/>
        <w:spacing w:line="560" w:lineRule="exact"/>
        <w:ind w:firstLine="1260" w:firstLineChars="525"/>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开户账号：</w:t>
      </w:r>
      <w:r>
        <w:rPr>
          <w:rFonts w:hint="eastAsia" w:ascii="宋体" w:hAnsi="宋体" w:eastAsia="宋体" w:cs="宋体"/>
          <w:color w:val="000000"/>
          <w:sz w:val="24"/>
          <w:szCs w:val="24"/>
          <w:highlight w:val="none"/>
          <w:lang w:val="zh-CN"/>
        </w:rPr>
        <w:t xml:space="preserve">                               </w:t>
      </w:r>
      <w:r>
        <w:rPr>
          <w:rFonts w:hint="eastAsia" w:ascii="宋体" w:hAnsi="宋体" w:eastAsia="宋体" w:cs="宋体"/>
          <w:color w:val="000000"/>
          <w:sz w:val="24"/>
          <w:szCs w:val="24"/>
          <w:highlight w:val="none"/>
        </w:rPr>
        <w:t>开户账号：</w:t>
      </w:r>
    </w:p>
    <w:p w14:paraId="64628CC9">
      <w:pPr>
        <w:widowControl/>
        <w:spacing w:line="560" w:lineRule="exact"/>
        <w:jc w:val="left"/>
        <w:rPr>
          <w:rFonts w:ascii="宋体" w:hAnsi="宋体" w:eastAsia="宋体" w:cs="宋体"/>
          <w:b/>
          <w:color w:val="000000"/>
          <w:kern w:val="0"/>
          <w:sz w:val="24"/>
          <w:szCs w:val="24"/>
          <w:highlight w:val="none"/>
        </w:rPr>
      </w:pPr>
      <w:bookmarkStart w:id="118" w:name="_Toc331685783"/>
    </w:p>
    <w:p w14:paraId="3042A871">
      <w:pPr>
        <w:widowControl/>
        <w:spacing w:line="560" w:lineRule="exact"/>
        <w:jc w:val="left"/>
        <w:rPr>
          <w:rFonts w:ascii="宋体" w:hAnsi="宋体" w:eastAsia="宋体" w:cs="宋体"/>
          <w:b/>
          <w:color w:val="000000"/>
          <w:kern w:val="0"/>
          <w:sz w:val="24"/>
          <w:szCs w:val="24"/>
          <w:highlight w:val="none"/>
        </w:rPr>
      </w:pPr>
    </w:p>
    <w:p w14:paraId="0262D3B6">
      <w:pPr>
        <w:widowControl/>
        <w:spacing w:line="560" w:lineRule="exact"/>
        <w:jc w:val="left"/>
        <w:rPr>
          <w:rFonts w:ascii="宋体" w:hAnsi="宋体" w:eastAsia="宋体" w:cs="宋体"/>
          <w:b/>
          <w:color w:val="000000"/>
          <w:kern w:val="0"/>
          <w:sz w:val="24"/>
          <w:szCs w:val="24"/>
          <w:highlight w:val="none"/>
        </w:rPr>
      </w:pPr>
    </w:p>
    <w:p w14:paraId="48C30DEC">
      <w:pPr>
        <w:widowControl/>
        <w:spacing w:line="560" w:lineRule="exact"/>
        <w:jc w:val="left"/>
        <w:rPr>
          <w:rFonts w:ascii="宋体" w:hAnsi="宋体" w:eastAsia="宋体" w:cs="宋体"/>
          <w:b/>
          <w:color w:val="000000"/>
          <w:kern w:val="0"/>
          <w:sz w:val="24"/>
          <w:szCs w:val="24"/>
          <w:highlight w:val="none"/>
        </w:rPr>
      </w:pPr>
    </w:p>
    <w:p w14:paraId="2E83F2BB">
      <w:pPr>
        <w:widowControl/>
        <w:spacing w:line="560" w:lineRule="exact"/>
        <w:jc w:val="left"/>
        <w:rPr>
          <w:rFonts w:ascii="宋体" w:hAnsi="宋体" w:eastAsia="宋体" w:cs="宋体"/>
          <w:b/>
          <w:color w:val="000000"/>
          <w:kern w:val="0"/>
          <w:sz w:val="24"/>
          <w:szCs w:val="24"/>
          <w:highlight w:val="none"/>
        </w:rPr>
      </w:pPr>
    </w:p>
    <w:p w14:paraId="171074C5">
      <w:pPr>
        <w:widowControl/>
        <w:spacing w:line="560" w:lineRule="exact"/>
        <w:jc w:val="left"/>
        <w:rPr>
          <w:rFonts w:ascii="宋体" w:hAnsi="宋体" w:eastAsia="宋体" w:cs="宋体"/>
          <w:b/>
          <w:color w:val="000000"/>
          <w:kern w:val="0"/>
          <w:sz w:val="24"/>
          <w:szCs w:val="24"/>
          <w:highlight w:val="none"/>
        </w:rPr>
      </w:pPr>
    </w:p>
    <w:p w14:paraId="2B951E9E">
      <w:pPr>
        <w:widowControl/>
        <w:spacing w:line="560" w:lineRule="exact"/>
        <w:jc w:val="left"/>
        <w:rPr>
          <w:rFonts w:ascii="宋体" w:hAnsi="宋体" w:eastAsia="宋体" w:cs="宋体"/>
          <w:b/>
          <w:color w:val="000000"/>
          <w:kern w:val="0"/>
          <w:sz w:val="24"/>
          <w:szCs w:val="24"/>
          <w:highlight w:val="none"/>
        </w:rPr>
      </w:pPr>
    </w:p>
    <w:p w14:paraId="3CD72CDC">
      <w:pPr>
        <w:widowControl/>
        <w:spacing w:line="560" w:lineRule="exact"/>
        <w:jc w:val="left"/>
        <w:rPr>
          <w:rFonts w:ascii="宋体" w:hAnsi="宋体" w:eastAsia="宋体" w:cs="宋体"/>
          <w:b/>
          <w:color w:val="000000"/>
          <w:kern w:val="0"/>
          <w:sz w:val="24"/>
          <w:szCs w:val="24"/>
          <w:highlight w:val="none"/>
        </w:rPr>
      </w:pPr>
    </w:p>
    <w:p w14:paraId="02B66B88">
      <w:pPr>
        <w:widowControl/>
        <w:spacing w:line="560" w:lineRule="exact"/>
        <w:jc w:val="left"/>
        <w:rPr>
          <w:rFonts w:ascii="宋体" w:hAnsi="宋体" w:eastAsia="宋体" w:cs="宋体"/>
          <w:b/>
          <w:color w:val="000000"/>
          <w:kern w:val="0"/>
          <w:sz w:val="24"/>
          <w:szCs w:val="24"/>
          <w:highlight w:val="none"/>
        </w:rPr>
      </w:pPr>
    </w:p>
    <w:p w14:paraId="3FC1F71D">
      <w:pPr>
        <w:autoSpaceDE w:val="0"/>
        <w:autoSpaceDN w:val="0"/>
        <w:adjustRightInd w:val="0"/>
        <w:spacing w:line="560" w:lineRule="exact"/>
        <w:ind w:firstLine="200"/>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第二部分 合同一般条款</w:t>
      </w:r>
      <w:bookmarkEnd w:id="118"/>
    </w:p>
    <w:p w14:paraId="475EAF54">
      <w:pPr>
        <w:spacing w:line="560" w:lineRule="exact"/>
        <w:ind w:firstLine="482" w:firstLineChars="200"/>
        <w:rPr>
          <w:rFonts w:ascii="宋体" w:hAnsi="宋体" w:eastAsia="宋体" w:cs="宋体"/>
          <w:b/>
          <w:color w:val="000000"/>
          <w:sz w:val="24"/>
          <w:szCs w:val="24"/>
          <w:highlight w:val="none"/>
        </w:rPr>
      </w:pPr>
      <w:bookmarkStart w:id="119" w:name="_Toc25079"/>
      <w:bookmarkStart w:id="120" w:name="_Ref467378499"/>
      <w:bookmarkStart w:id="121" w:name="_Toc259093669"/>
      <w:bookmarkStart w:id="122" w:name="_Toc487900349"/>
      <w:bookmarkStart w:id="123" w:name="_Ref467379214"/>
      <w:bookmarkStart w:id="124" w:name="_Ref467379195"/>
      <w:bookmarkStart w:id="125" w:name="_Toc19680"/>
      <w:bookmarkStart w:id="126" w:name="_Ref467379225"/>
      <w:bookmarkStart w:id="127" w:name="_Toc279701240"/>
      <w:bookmarkStart w:id="128" w:name="_Toc14021"/>
      <w:bookmarkStart w:id="129" w:name="_Toc31297"/>
      <w:bookmarkStart w:id="130" w:name="_Ref467378404"/>
      <w:bookmarkStart w:id="131" w:name="_Ref467379109"/>
      <w:bookmarkStart w:id="132" w:name="_Ref467379094"/>
      <w:bookmarkStart w:id="133" w:name="_Ref467379205"/>
      <w:bookmarkStart w:id="134" w:name="_Toc5228"/>
      <w:bookmarkStart w:id="135" w:name="_Ref467379101"/>
      <w:bookmarkStart w:id="136" w:name="_Ref467378463"/>
      <w:r>
        <w:rPr>
          <w:rFonts w:hint="eastAsia" w:ascii="宋体" w:hAnsi="宋体" w:eastAsia="宋体" w:cs="宋体"/>
          <w:b/>
          <w:color w:val="000000"/>
          <w:sz w:val="24"/>
          <w:szCs w:val="24"/>
          <w:highlight w:val="none"/>
        </w:rPr>
        <w:t>2.1 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12888BE">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本合同中的下列词语应按以下内容进行解释：</w:t>
      </w:r>
    </w:p>
    <w:p w14:paraId="431450F3">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“合同”系指采购人和中标供应商签订的载明双方当事人所达成的协议，并包括所有的附件、附录和构成合同的其他文件。</w:t>
      </w:r>
    </w:p>
    <w:p w14:paraId="56FEC5CA">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“合同价”系指根据合同约定，中标供应商在完全履行合同义务后，采购人应支付给中标供应商的价格。</w:t>
      </w:r>
    </w:p>
    <w:p w14:paraId="16B07B53">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“服务”系指中标供应商根据合同约定应向采购人履行的除货物和工程以外的其他采购对象，包括采购人自身需要的服务和向社会公众提供的公共服务。</w:t>
      </w:r>
    </w:p>
    <w:p w14:paraId="4A41CF5F">
      <w:pPr>
        <w:spacing w:line="560" w:lineRule="exact"/>
        <w:ind w:firstLine="480" w:firstLineChars="200"/>
        <w:rPr>
          <w:rFonts w:ascii="宋体" w:hAnsi="宋体" w:eastAsia="宋体" w:cs="宋体"/>
          <w:color w:val="000000"/>
          <w:sz w:val="24"/>
          <w:szCs w:val="24"/>
          <w:highlight w:val="none"/>
        </w:rPr>
      </w:pPr>
      <w:bookmarkStart w:id="137" w:name="_Ref467378840"/>
      <w:r>
        <w:rPr>
          <w:rFonts w:hint="eastAsia" w:ascii="宋体" w:hAnsi="宋体" w:eastAsia="宋体" w:cs="宋体"/>
          <w:color w:val="000000"/>
          <w:sz w:val="24"/>
          <w:szCs w:val="24"/>
          <w:highlight w:val="none"/>
        </w:rPr>
        <w:t>2.1.4 “甲方”系指与中标供应商签署合同的采购人</w:t>
      </w:r>
      <w:bookmarkEnd w:id="137"/>
      <w:r>
        <w:rPr>
          <w:rFonts w:hint="eastAsia" w:ascii="宋体" w:hAnsi="宋体" w:eastAsia="宋体" w:cs="宋体"/>
          <w:color w:val="000000"/>
          <w:sz w:val="24"/>
          <w:szCs w:val="24"/>
          <w:highlight w:val="none"/>
        </w:rPr>
        <w:t>；采购人委托采购代理机构代表其与乙方签订合同的，采购人的授权委托书作为合同附件。</w:t>
      </w:r>
    </w:p>
    <w:p w14:paraId="17C4840F">
      <w:pPr>
        <w:spacing w:line="560" w:lineRule="exact"/>
        <w:ind w:firstLine="480" w:firstLineChars="200"/>
        <w:rPr>
          <w:rFonts w:ascii="宋体" w:hAnsi="宋体" w:eastAsia="宋体" w:cs="宋体"/>
          <w:color w:val="000000"/>
          <w:sz w:val="24"/>
          <w:szCs w:val="24"/>
          <w:highlight w:val="none"/>
        </w:rPr>
      </w:pPr>
      <w:bookmarkStart w:id="138" w:name="_Ref467379400"/>
      <w:r>
        <w:rPr>
          <w:rFonts w:hint="eastAsia" w:ascii="宋体" w:hAnsi="宋体" w:eastAsia="宋体" w:cs="宋体"/>
          <w:color w:val="000000"/>
          <w:sz w:val="24"/>
          <w:szCs w:val="24"/>
          <w:highlight w:val="none"/>
        </w:rPr>
        <w:t>2.1.5 “乙方”系指根据合同约定提供服务的中标供应商</w:t>
      </w:r>
      <w:bookmarkEnd w:id="138"/>
      <w:r>
        <w:rPr>
          <w:rFonts w:hint="eastAsia" w:ascii="宋体" w:hAnsi="宋体" w:eastAsia="宋体" w:cs="宋体"/>
          <w:color w:val="000000"/>
          <w:sz w:val="24"/>
          <w:szCs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1465CB11">
      <w:pPr>
        <w:spacing w:line="560" w:lineRule="exact"/>
        <w:ind w:firstLine="480" w:firstLineChars="200"/>
        <w:rPr>
          <w:rFonts w:ascii="宋体" w:hAnsi="宋体" w:eastAsia="宋体" w:cs="宋体"/>
          <w:color w:val="000000"/>
          <w:sz w:val="24"/>
          <w:szCs w:val="24"/>
          <w:highlight w:val="none"/>
        </w:rPr>
      </w:pPr>
      <w:bookmarkStart w:id="139" w:name="_Ref467379436"/>
      <w:r>
        <w:rPr>
          <w:rFonts w:hint="eastAsia" w:ascii="宋体" w:hAnsi="宋体" w:eastAsia="宋体" w:cs="宋体"/>
          <w:color w:val="000000"/>
          <w:sz w:val="24"/>
          <w:szCs w:val="24"/>
          <w:highlight w:val="none"/>
        </w:rPr>
        <w:t>2.1.6 “现场”系指合同约定提供服务的地点。</w:t>
      </w:r>
      <w:bookmarkEnd w:id="139"/>
    </w:p>
    <w:p w14:paraId="399A20FA">
      <w:pPr>
        <w:spacing w:line="560" w:lineRule="exact"/>
        <w:ind w:firstLine="482" w:firstLineChars="200"/>
        <w:rPr>
          <w:rFonts w:ascii="宋体" w:hAnsi="宋体" w:eastAsia="宋体" w:cs="宋体"/>
          <w:b/>
          <w:color w:val="000000"/>
          <w:sz w:val="24"/>
          <w:szCs w:val="24"/>
          <w:highlight w:val="none"/>
        </w:rPr>
      </w:pPr>
      <w:bookmarkStart w:id="140" w:name="_Toc31402"/>
      <w:bookmarkStart w:id="141" w:name="_Toc23289"/>
      <w:bookmarkStart w:id="142" w:name="_Toc16752"/>
      <w:bookmarkStart w:id="143" w:name="_Toc259093670"/>
      <w:bookmarkStart w:id="144" w:name="_Toc279701241"/>
      <w:bookmarkStart w:id="145" w:name="_Toc3769"/>
      <w:bookmarkStart w:id="146" w:name="_Toc487900350"/>
      <w:bookmarkStart w:id="147" w:name="_Toc19539"/>
      <w:r>
        <w:rPr>
          <w:rFonts w:hint="eastAsia" w:ascii="宋体" w:hAnsi="宋体" w:eastAsia="宋体" w:cs="宋体"/>
          <w:b/>
          <w:color w:val="000000"/>
          <w:sz w:val="24"/>
          <w:szCs w:val="24"/>
          <w:highlight w:val="none"/>
        </w:rPr>
        <w:t>2.2 技术规范</w:t>
      </w:r>
      <w:bookmarkEnd w:id="140"/>
      <w:bookmarkEnd w:id="141"/>
      <w:bookmarkEnd w:id="142"/>
      <w:bookmarkEnd w:id="143"/>
      <w:bookmarkEnd w:id="144"/>
      <w:bookmarkEnd w:id="145"/>
      <w:bookmarkEnd w:id="146"/>
      <w:bookmarkEnd w:id="147"/>
    </w:p>
    <w:p w14:paraId="398A8790">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3F9E95">
      <w:pPr>
        <w:spacing w:line="560" w:lineRule="exact"/>
        <w:ind w:firstLine="482" w:firstLineChars="200"/>
        <w:rPr>
          <w:rFonts w:ascii="宋体" w:hAnsi="宋体" w:eastAsia="宋体" w:cs="宋体"/>
          <w:b/>
          <w:color w:val="000000"/>
          <w:sz w:val="24"/>
          <w:szCs w:val="24"/>
          <w:highlight w:val="none"/>
        </w:rPr>
      </w:pPr>
      <w:bookmarkStart w:id="148" w:name="_Toc487900351"/>
      <w:bookmarkStart w:id="149" w:name="_Toc259093671"/>
      <w:bookmarkStart w:id="150" w:name="_Toc4133"/>
      <w:bookmarkStart w:id="151" w:name="_Toc27945"/>
      <w:bookmarkStart w:id="152" w:name="_Toc9161"/>
      <w:bookmarkStart w:id="153" w:name="_Toc12412"/>
      <w:bookmarkStart w:id="154" w:name="_Toc13673"/>
      <w:bookmarkStart w:id="155" w:name="_Toc279701242"/>
      <w:r>
        <w:rPr>
          <w:rFonts w:hint="eastAsia" w:ascii="宋体" w:hAnsi="宋体" w:eastAsia="宋体" w:cs="宋体"/>
          <w:b/>
          <w:color w:val="000000"/>
          <w:sz w:val="24"/>
          <w:szCs w:val="24"/>
          <w:highlight w:val="none"/>
        </w:rPr>
        <w:t>2.3 知识产权</w:t>
      </w:r>
      <w:bookmarkEnd w:id="148"/>
      <w:bookmarkEnd w:id="149"/>
      <w:bookmarkEnd w:id="150"/>
      <w:bookmarkEnd w:id="151"/>
      <w:bookmarkEnd w:id="152"/>
      <w:bookmarkEnd w:id="153"/>
      <w:bookmarkEnd w:id="154"/>
      <w:bookmarkEnd w:id="155"/>
    </w:p>
    <w:p w14:paraId="43B3A505">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5C755B8">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2.3.2 技术成果归属甲方。</w:t>
      </w:r>
    </w:p>
    <w:p w14:paraId="4F8ED560">
      <w:pPr>
        <w:spacing w:line="56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2.4 履约检查和问题反馈</w:t>
      </w:r>
    </w:p>
    <w:p w14:paraId="43180B16">
      <w:pPr>
        <w:spacing w:line="560" w:lineRule="exact"/>
        <w:ind w:firstLine="480" w:firstLineChars="200"/>
        <w:rPr>
          <w:rFonts w:ascii="宋体" w:hAnsi="宋体" w:eastAsia="宋体" w:cs="宋体"/>
          <w:color w:val="000000"/>
          <w:sz w:val="24"/>
          <w:szCs w:val="24"/>
          <w:highlight w:val="none"/>
        </w:rPr>
      </w:pPr>
      <w:bookmarkStart w:id="156" w:name="_Ref467379657"/>
      <w:r>
        <w:rPr>
          <w:rFonts w:hint="eastAsia" w:ascii="宋体" w:hAnsi="宋体" w:eastAsia="宋体" w:cs="宋体"/>
          <w:color w:val="000000"/>
          <w:sz w:val="24"/>
          <w:szCs w:val="24"/>
          <w:highlight w:val="none"/>
        </w:rPr>
        <w:t>2.4.1</w:t>
      </w:r>
      <w:bookmarkEnd w:id="156"/>
      <w:bookmarkStart w:id="157" w:name="_Toc186431854"/>
      <w:bookmarkStart w:id="158" w:name="_Toc279701247"/>
      <w:bookmarkStart w:id="159" w:name="_Ref467379793"/>
      <w:bookmarkStart w:id="160" w:name="_Toc259093676"/>
      <w:bookmarkStart w:id="161" w:name="_Toc487900357"/>
      <w:bookmarkStart w:id="162" w:name="_Ref467379807"/>
      <w:r>
        <w:rPr>
          <w:rFonts w:hint="eastAsia" w:ascii="宋体" w:hAnsi="宋体" w:eastAsia="宋体" w:cs="宋体"/>
          <w:color w:val="00000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7BFC7B6">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合同履行期间，甲方有权将履行过程中出现的问题反馈给乙方，双方当事人应以书面形式约定需要完善和改进的内容</w:t>
      </w:r>
      <w:bookmarkEnd w:id="157"/>
      <w:bookmarkStart w:id="163" w:name="_Toc186431855"/>
      <w:r>
        <w:rPr>
          <w:rFonts w:hint="eastAsia" w:ascii="宋体" w:hAnsi="宋体" w:eastAsia="宋体" w:cs="宋体"/>
          <w:color w:val="000000"/>
          <w:sz w:val="24"/>
          <w:szCs w:val="24"/>
          <w:highlight w:val="none"/>
        </w:rPr>
        <w:t>。</w:t>
      </w:r>
    </w:p>
    <w:bookmarkEnd w:id="158"/>
    <w:bookmarkEnd w:id="159"/>
    <w:bookmarkEnd w:id="160"/>
    <w:bookmarkEnd w:id="161"/>
    <w:bookmarkEnd w:id="162"/>
    <w:bookmarkEnd w:id="163"/>
    <w:p w14:paraId="481D29A9">
      <w:pPr>
        <w:spacing w:line="560" w:lineRule="exact"/>
        <w:ind w:firstLine="482" w:firstLineChars="200"/>
        <w:rPr>
          <w:rFonts w:ascii="宋体" w:hAnsi="宋体" w:eastAsia="宋体" w:cs="宋体"/>
          <w:b/>
          <w:color w:val="000000"/>
          <w:sz w:val="24"/>
          <w:szCs w:val="24"/>
          <w:highlight w:val="none"/>
        </w:rPr>
      </w:pPr>
      <w:bookmarkStart w:id="164" w:name="_Ref467379923"/>
      <w:bookmarkStart w:id="165" w:name="_Ref467379863"/>
      <w:bookmarkStart w:id="166" w:name="_Toc279701248"/>
      <w:bookmarkStart w:id="167" w:name="_Ref467379852"/>
      <w:bookmarkStart w:id="168" w:name="_Toc487900358"/>
      <w:bookmarkStart w:id="169" w:name="_Toc259093677"/>
      <w:bookmarkStart w:id="170" w:name="_Toc30507"/>
      <w:bookmarkStart w:id="171" w:name="_Toc16163"/>
      <w:bookmarkStart w:id="172" w:name="_Toc13154"/>
      <w:bookmarkStart w:id="173" w:name="_Toc18990"/>
      <w:bookmarkStart w:id="174" w:name="_Toc13467"/>
      <w:r>
        <w:rPr>
          <w:rFonts w:hint="eastAsia" w:ascii="宋体" w:hAnsi="宋体" w:eastAsia="宋体" w:cs="宋体"/>
          <w:b/>
          <w:color w:val="000000"/>
          <w:sz w:val="24"/>
          <w:szCs w:val="24"/>
          <w:highlight w:val="none"/>
        </w:rPr>
        <w:t>2.5 技术资料</w:t>
      </w:r>
      <w:bookmarkEnd w:id="164"/>
      <w:bookmarkEnd w:id="165"/>
      <w:bookmarkEnd w:id="166"/>
      <w:bookmarkEnd w:id="167"/>
      <w:bookmarkEnd w:id="168"/>
      <w:bookmarkEnd w:id="169"/>
      <w:r>
        <w:rPr>
          <w:rFonts w:hint="eastAsia" w:ascii="宋体" w:hAnsi="宋体" w:eastAsia="宋体" w:cs="宋体"/>
          <w:b/>
          <w:color w:val="000000"/>
          <w:sz w:val="24"/>
          <w:szCs w:val="24"/>
          <w:highlight w:val="none"/>
        </w:rPr>
        <w:t>和保密义务</w:t>
      </w:r>
      <w:bookmarkEnd w:id="170"/>
      <w:bookmarkEnd w:id="171"/>
      <w:bookmarkEnd w:id="172"/>
      <w:bookmarkEnd w:id="173"/>
      <w:bookmarkEnd w:id="174"/>
    </w:p>
    <w:p w14:paraId="4E1EB18D">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2.5.1 乙方有权依据合同约定和项目需要，向甲方了解有关情况，调阅有关资料等，甲方应予积极配合；</w:t>
      </w:r>
    </w:p>
    <w:p w14:paraId="61F36020">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2.5.2 乙方有义务妥善保管和保护由甲方提供的前款信息和资料等；</w:t>
      </w:r>
    </w:p>
    <w:p w14:paraId="7CD362FF">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F9427E">
      <w:pPr>
        <w:spacing w:line="560" w:lineRule="exact"/>
        <w:ind w:firstLine="482" w:firstLineChars="200"/>
        <w:rPr>
          <w:rFonts w:ascii="宋体" w:hAnsi="宋体" w:eastAsia="宋体" w:cs="宋体"/>
          <w:b/>
          <w:color w:val="000000"/>
          <w:sz w:val="24"/>
          <w:szCs w:val="24"/>
          <w:highlight w:val="none"/>
        </w:rPr>
      </w:pPr>
      <w:bookmarkStart w:id="175" w:name="_Toc19069"/>
      <w:bookmarkStart w:id="176" w:name="_Toc259093681"/>
      <w:bookmarkStart w:id="177" w:name="_Toc279701252"/>
      <w:bookmarkStart w:id="178" w:name="_Toc487900362"/>
      <w:r>
        <w:rPr>
          <w:rFonts w:hint="eastAsia" w:ascii="宋体" w:hAnsi="宋体" w:eastAsia="宋体" w:cs="宋体"/>
          <w:b/>
          <w:color w:val="000000"/>
          <w:sz w:val="24"/>
          <w:szCs w:val="24"/>
          <w:highlight w:val="none"/>
        </w:rPr>
        <w:t>2.6 质量保证</w:t>
      </w:r>
      <w:bookmarkEnd w:id="175"/>
    </w:p>
    <w:p w14:paraId="72500C00">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2.6.1 乙方应建立和完善履行合同的内部质量保证体系，并提供相关内部规章制度给甲方，以便甲方进行监督检查；</w:t>
      </w:r>
    </w:p>
    <w:p w14:paraId="1788DA92">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2.6.2 乙方应保证履行合同的人员数量和素质、软件和硬件设备的配置、场地、环境和设施等满足全面履行合同的要求，并应接受甲方的监督检查。</w:t>
      </w:r>
    </w:p>
    <w:p w14:paraId="1F2B0D3A">
      <w:pPr>
        <w:spacing w:line="560" w:lineRule="exact"/>
        <w:ind w:firstLine="482" w:firstLineChars="200"/>
        <w:rPr>
          <w:rFonts w:ascii="宋体" w:hAnsi="宋体" w:eastAsia="宋体" w:cs="宋体"/>
          <w:b/>
          <w:color w:val="000000"/>
          <w:sz w:val="24"/>
          <w:szCs w:val="24"/>
          <w:highlight w:val="none"/>
        </w:rPr>
      </w:pPr>
      <w:bookmarkStart w:id="179" w:name="_Toc22267"/>
      <w:r>
        <w:rPr>
          <w:rFonts w:hint="eastAsia" w:ascii="宋体" w:hAnsi="宋体" w:eastAsia="宋体" w:cs="宋体"/>
          <w:b/>
          <w:color w:val="000000"/>
          <w:sz w:val="24"/>
          <w:szCs w:val="24"/>
          <w:highlight w:val="none"/>
        </w:rPr>
        <w:t>2.7 延迟</w:t>
      </w:r>
      <w:bookmarkEnd w:id="176"/>
      <w:bookmarkEnd w:id="177"/>
      <w:bookmarkEnd w:id="178"/>
      <w:r>
        <w:rPr>
          <w:rFonts w:hint="eastAsia" w:ascii="宋体" w:hAnsi="宋体" w:eastAsia="宋体" w:cs="宋体"/>
          <w:b/>
          <w:color w:val="000000"/>
          <w:sz w:val="24"/>
          <w:szCs w:val="24"/>
          <w:highlight w:val="none"/>
        </w:rPr>
        <w:t>履行</w:t>
      </w:r>
      <w:bookmarkEnd w:id="179"/>
    </w:p>
    <w:p w14:paraId="465FB3EB">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5C45ACA">
      <w:pPr>
        <w:spacing w:line="560" w:lineRule="exact"/>
        <w:ind w:firstLine="482" w:firstLineChars="200"/>
        <w:rPr>
          <w:rFonts w:ascii="宋体" w:hAnsi="宋体" w:eastAsia="宋体" w:cs="宋体"/>
          <w:b/>
          <w:color w:val="000000"/>
          <w:sz w:val="24"/>
          <w:szCs w:val="24"/>
          <w:highlight w:val="none"/>
        </w:rPr>
      </w:pPr>
      <w:bookmarkStart w:id="180" w:name="_Toc10611"/>
      <w:bookmarkStart w:id="181" w:name="_Toc487900364"/>
      <w:bookmarkStart w:id="182" w:name="_Ref467378121"/>
      <w:bookmarkStart w:id="183" w:name="_Toc279701254"/>
      <w:bookmarkStart w:id="184" w:name="_Toc259093683"/>
      <w:r>
        <w:rPr>
          <w:rFonts w:hint="eastAsia" w:ascii="宋体" w:hAnsi="宋体" w:eastAsia="宋体" w:cs="宋体"/>
          <w:b/>
          <w:color w:val="000000"/>
          <w:sz w:val="24"/>
          <w:szCs w:val="24"/>
          <w:highlight w:val="none"/>
        </w:rPr>
        <w:t>2.8 合同变更</w:t>
      </w:r>
      <w:bookmarkEnd w:id="180"/>
    </w:p>
    <w:p w14:paraId="58A9E6FF">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2.8.1 双方当事人协商一致，可以签订书面补充合同的形式变更合同，但不得违背采购文件确定的事项，且如果系追加与合同标的相同的服务的，那么所有补充合同的采购金额不得超过原合同价的10%；</w:t>
      </w:r>
    </w:p>
    <w:p w14:paraId="29805B17">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2.8.2 合同继续履行将损害国家利益和社会公共利益的，双方当事人应当以书面形式变更合同。有过错的一方应当承担赔偿责任，双方当事人都有过错的，各自承担相应的责任。</w:t>
      </w:r>
      <w:bookmarkStart w:id="185" w:name="_Toc279701259"/>
      <w:bookmarkStart w:id="186" w:name="_Toc487900369"/>
      <w:bookmarkStart w:id="187" w:name="_Toc259093688"/>
    </w:p>
    <w:p w14:paraId="1330D198">
      <w:pPr>
        <w:spacing w:line="560" w:lineRule="exact"/>
        <w:ind w:firstLine="482" w:firstLineChars="200"/>
        <w:rPr>
          <w:rFonts w:ascii="宋体" w:hAnsi="宋体" w:eastAsia="宋体" w:cs="宋体"/>
          <w:b/>
          <w:color w:val="000000"/>
          <w:sz w:val="24"/>
          <w:szCs w:val="24"/>
          <w:highlight w:val="none"/>
        </w:rPr>
      </w:pPr>
      <w:bookmarkStart w:id="188" w:name="_Toc21830"/>
      <w:bookmarkStart w:id="189" w:name="_Toc42"/>
      <w:bookmarkStart w:id="190" w:name="_Toc26689"/>
      <w:bookmarkStart w:id="191" w:name="_Toc23368"/>
      <w:bookmarkStart w:id="192" w:name="_Toc10663"/>
      <w:r>
        <w:rPr>
          <w:rFonts w:hint="eastAsia" w:ascii="宋体" w:hAnsi="宋体" w:eastAsia="宋体" w:cs="宋体"/>
          <w:b/>
          <w:color w:val="000000"/>
          <w:sz w:val="24"/>
          <w:szCs w:val="24"/>
          <w:highlight w:val="none"/>
        </w:rPr>
        <w:t>2.9 合同转让</w:t>
      </w:r>
      <w:bookmarkEnd w:id="185"/>
      <w:bookmarkEnd w:id="186"/>
      <w:bookmarkEnd w:id="187"/>
      <w:r>
        <w:rPr>
          <w:rFonts w:hint="eastAsia" w:ascii="宋体" w:hAnsi="宋体" w:eastAsia="宋体" w:cs="宋体"/>
          <w:b/>
          <w:color w:val="000000"/>
          <w:sz w:val="24"/>
          <w:szCs w:val="24"/>
          <w:highlight w:val="none"/>
        </w:rPr>
        <w:t>和分包</w:t>
      </w:r>
      <w:bookmarkEnd w:id="188"/>
      <w:bookmarkEnd w:id="189"/>
      <w:bookmarkEnd w:id="190"/>
      <w:bookmarkEnd w:id="191"/>
      <w:bookmarkEnd w:id="192"/>
    </w:p>
    <w:p w14:paraId="50A90101">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0"/>
          <w:highlight w:val="none"/>
        </w:rPr>
        <w:t>合同的权利义务依法不得转让，如招标文件“第一章 投标邀请函”中甲方接受中标后分包，</w:t>
      </w:r>
      <w:r>
        <w:rPr>
          <w:rFonts w:hint="eastAsia" w:ascii="宋体" w:hAnsi="宋体" w:eastAsia="宋体" w:cs="宋体"/>
          <w:color w:val="000000"/>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ABF77E">
      <w:pPr>
        <w:spacing w:line="560" w:lineRule="exact"/>
        <w:ind w:firstLine="482" w:firstLineChars="200"/>
        <w:rPr>
          <w:rFonts w:ascii="宋体" w:hAnsi="宋体" w:eastAsia="宋体" w:cs="宋体"/>
          <w:b/>
          <w:color w:val="000000"/>
          <w:sz w:val="24"/>
          <w:szCs w:val="24"/>
          <w:highlight w:val="none"/>
        </w:rPr>
      </w:pPr>
      <w:bookmarkStart w:id="193" w:name="_Toc32494"/>
      <w:bookmarkStart w:id="194" w:name="_Toc4720"/>
      <w:bookmarkStart w:id="195" w:name="_Toc14371"/>
      <w:bookmarkStart w:id="196" w:name="_Toc26633"/>
      <w:bookmarkStart w:id="197" w:name="_Toc25571"/>
      <w:r>
        <w:rPr>
          <w:rFonts w:hint="eastAsia" w:ascii="宋体" w:hAnsi="宋体" w:eastAsia="宋体" w:cs="宋体"/>
          <w:b/>
          <w:color w:val="000000"/>
          <w:sz w:val="24"/>
          <w:szCs w:val="24"/>
          <w:highlight w:val="none"/>
        </w:rPr>
        <w:t>2.10 不可抗力</w:t>
      </w:r>
      <w:bookmarkEnd w:id="193"/>
      <w:bookmarkEnd w:id="194"/>
      <w:bookmarkEnd w:id="195"/>
      <w:bookmarkEnd w:id="196"/>
      <w:bookmarkEnd w:id="197"/>
    </w:p>
    <w:p w14:paraId="73805224">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2.10.1如果任何一方遭遇法律规定的不可抗力，致使合同履行受阻时，履行合同的期限应予延长，延长的期限应相当于不可抗力所影响的时间；</w:t>
      </w:r>
    </w:p>
    <w:p w14:paraId="6501C6E9">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2.10.2 因不可抗力致使不能实现合同目的的，当事人可以解除合同；</w:t>
      </w:r>
    </w:p>
    <w:p w14:paraId="13E5069B">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2.10.3 因不可抗力致使合同有变更必要的，</w:t>
      </w:r>
      <w:r>
        <w:rPr>
          <w:rFonts w:hint="eastAsia" w:ascii="宋体" w:hAnsi="宋体" w:eastAsia="宋体" w:cs="宋体"/>
          <w:color w:val="000000"/>
          <w:sz w:val="24"/>
          <w:szCs w:val="20"/>
          <w:highlight w:val="none"/>
        </w:rPr>
        <w:t>双方当事人应在约定时间内以书面形式变更合同</w:t>
      </w:r>
      <w:r>
        <w:rPr>
          <w:rFonts w:hint="eastAsia" w:ascii="宋体" w:hAnsi="宋体" w:eastAsia="宋体" w:cs="宋体"/>
          <w:color w:val="000000"/>
          <w:sz w:val="24"/>
          <w:szCs w:val="24"/>
          <w:highlight w:val="none"/>
        </w:rPr>
        <w:t>；</w:t>
      </w:r>
    </w:p>
    <w:p w14:paraId="21307E0C">
      <w:pPr>
        <w:spacing w:line="560" w:lineRule="exact"/>
        <w:ind w:firstLine="480" w:firstLineChars="200"/>
        <w:rPr>
          <w:rFonts w:ascii="宋体" w:hAnsi="宋体" w:eastAsia="宋体" w:cs="Times New Roman"/>
          <w:bCs/>
          <w:color w:val="000000"/>
          <w:sz w:val="24"/>
          <w:szCs w:val="20"/>
          <w:highlight w:val="none"/>
          <w:lang w:val="zh-CN"/>
        </w:rPr>
      </w:pPr>
      <w:r>
        <w:rPr>
          <w:rFonts w:hint="eastAsia" w:ascii="宋体" w:hAnsi="宋体" w:eastAsia="宋体" w:cs="宋体"/>
          <w:color w:val="000000"/>
          <w:sz w:val="24"/>
          <w:szCs w:val="24"/>
          <w:highlight w:val="none"/>
        </w:rPr>
        <w:t xml:space="preserve">2.10.4 </w:t>
      </w:r>
      <w:r>
        <w:rPr>
          <w:rFonts w:hint="eastAsia" w:ascii="宋体" w:hAnsi="宋体" w:eastAsia="宋体" w:cs="Times New Roman"/>
          <w:bCs/>
          <w:color w:val="000000"/>
          <w:sz w:val="24"/>
          <w:szCs w:val="20"/>
          <w:highlight w:val="none"/>
          <w:lang w:val="zh-CN"/>
        </w:rPr>
        <w:t>如遭遇不可抗力事件，遭遇不可抗力的一方应尽快以书面形式将不可抗力的情况和原因通知另一方，并</w:t>
      </w:r>
      <w:r>
        <w:rPr>
          <w:rFonts w:hint="eastAsia" w:ascii="宋体" w:hAnsi="宋体" w:eastAsia="宋体" w:cs="宋体"/>
          <w:color w:val="000000"/>
          <w:sz w:val="24"/>
          <w:szCs w:val="20"/>
          <w:highlight w:val="none"/>
        </w:rPr>
        <w:t>将有关部门出具的证明文件送达对方当事人，</w:t>
      </w:r>
      <w:r>
        <w:rPr>
          <w:rFonts w:hint="eastAsia" w:ascii="宋体" w:hAnsi="宋体" w:eastAsia="宋体" w:cs="Times New Roman"/>
          <w:bCs/>
          <w:color w:val="000000"/>
          <w:sz w:val="24"/>
          <w:szCs w:val="20"/>
          <w:highlight w:val="none"/>
          <w:lang w:val="zh-CN"/>
        </w:rPr>
        <w:t>积极采取措施防止损失扩大。因不可抗力造成的损失，甲乙双方按照法律规定处理；</w:t>
      </w:r>
    </w:p>
    <w:p w14:paraId="5371690C">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0"/>
          <w:highlight w:val="none"/>
        </w:rPr>
        <w:t>2.10.5 “</w:t>
      </w:r>
      <w:r>
        <w:rPr>
          <w:rFonts w:hint="eastAsia" w:ascii="宋体" w:hAnsi="宋体" w:eastAsia="宋体" w:cs="Times New Roman"/>
          <w:bCs/>
          <w:color w:val="000000"/>
          <w:sz w:val="24"/>
          <w:szCs w:val="20"/>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24A71A9B">
      <w:pPr>
        <w:spacing w:line="560" w:lineRule="exact"/>
        <w:ind w:firstLine="482" w:firstLineChars="200"/>
        <w:rPr>
          <w:rFonts w:ascii="宋体" w:hAnsi="宋体" w:eastAsia="宋体" w:cs="宋体"/>
          <w:b/>
          <w:color w:val="000000"/>
          <w:sz w:val="24"/>
          <w:szCs w:val="24"/>
          <w:highlight w:val="none"/>
        </w:rPr>
      </w:pPr>
      <w:bookmarkStart w:id="198" w:name="_Toc3638"/>
      <w:bookmarkStart w:id="199" w:name="_Toc25783"/>
      <w:bookmarkStart w:id="200" w:name="_Toc279701255"/>
      <w:bookmarkStart w:id="201" w:name="_Toc14115"/>
      <w:bookmarkStart w:id="202" w:name="_Toc487900365"/>
      <w:bookmarkStart w:id="203" w:name="_Toc23854"/>
      <w:bookmarkStart w:id="204" w:name="_Toc259093684"/>
      <w:bookmarkStart w:id="205" w:name="_Toc24465"/>
      <w:r>
        <w:rPr>
          <w:rFonts w:hint="eastAsia" w:ascii="宋体" w:hAnsi="宋体" w:eastAsia="宋体" w:cs="宋体"/>
          <w:b/>
          <w:color w:val="000000"/>
          <w:sz w:val="24"/>
          <w:szCs w:val="24"/>
          <w:highlight w:val="none"/>
        </w:rPr>
        <w:t>2.11 税费</w:t>
      </w:r>
      <w:bookmarkEnd w:id="198"/>
      <w:bookmarkEnd w:id="199"/>
      <w:bookmarkEnd w:id="200"/>
      <w:bookmarkEnd w:id="201"/>
      <w:bookmarkEnd w:id="202"/>
      <w:bookmarkEnd w:id="203"/>
      <w:bookmarkEnd w:id="204"/>
      <w:bookmarkEnd w:id="205"/>
    </w:p>
    <w:p w14:paraId="19086AC6">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与合同有关的一切税费，均按照中华人民共和国法律的相关规定缴纳。</w:t>
      </w:r>
    </w:p>
    <w:p w14:paraId="19E0E43A">
      <w:pPr>
        <w:spacing w:line="560" w:lineRule="exact"/>
        <w:ind w:firstLine="482" w:firstLineChars="200"/>
        <w:rPr>
          <w:rFonts w:ascii="宋体" w:hAnsi="宋体" w:eastAsia="宋体" w:cs="宋体"/>
          <w:b/>
          <w:color w:val="000000"/>
          <w:sz w:val="24"/>
          <w:szCs w:val="24"/>
          <w:highlight w:val="none"/>
        </w:rPr>
      </w:pPr>
      <w:bookmarkStart w:id="206" w:name="_Toc25525"/>
      <w:bookmarkStart w:id="207" w:name="_Toc30105"/>
      <w:bookmarkStart w:id="208" w:name="_Toc487900368"/>
      <w:bookmarkStart w:id="209" w:name="_Toc259093687"/>
      <w:bookmarkStart w:id="210" w:name="_Toc14814"/>
      <w:bookmarkStart w:id="211" w:name="_Toc279701258"/>
      <w:bookmarkStart w:id="212" w:name="_Toc7315"/>
      <w:bookmarkStart w:id="213" w:name="_Toc26883"/>
      <w:r>
        <w:rPr>
          <w:rFonts w:hint="eastAsia" w:ascii="宋体" w:hAnsi="宋体" w:eastAsia="宋体" w:cs="宋体"/>
          <w:b/>
          <w:color w:val="000000"/>
          <w:sz w:val="24"/>
          <w:szCs w:val="24"/>
          <w:highlight w:val="none"/>
        </w:rPr>
        <w:t>2.12 乙方破产</w:t>
      </w:r>
      <w:bookmarkEnd w:id="206"/>
      <w:bookmarkEnd w:id="207"/>
      <w:bookmarkEnd w:id="208"/>
      <w:bookmarkEnd w:id="209"/>
      <w:bookmarkEnd w:id="210"/>
      <w:bookmarkEnd w:id="211"/>
      <w:bookmarkEnd w:id="212"/>
      <w:bookmarkEnd w:id="213"/>
    </w:p>
    <w:p w14:paraId="44E182BE">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6870F8">
      <w:pPr>
        <w:spacing w:line="560" w:lineRule="exact"/>
        <w:ind w:firstLine="482" w:firstLineChars="200"/>
        <w:rPr>
          <w:rFonts w:ascii="宋体" w:hAnsi="宋体" w:eastAsia="宋体" w:cs="宋体"/>
          <w:b/>
          <w:color w:val="000000"/>
          <w:sz w:val="24"/>
          <w:szCs w:val="24"/>
          <w:highlight w:val="none"/>
        </w:rPr>
      </w:pPr>
      <w:bookmarkStart w:id="214" w:name="_Toc2016"/>
      <w:bookmarkStart w:id="215" w:name="_Toc1123"/>
      <w:bookmarkStart w:id="216" w:name="_Toc23323"/>
      <w:r>
        <w:rPr>
          <w:rFonts w:hint="eastAsia" w:ascii="宋体" w:hAnsi="宋体" w:eastAsia="宋体" w:cs="宋体"/>
          <w:b/>
          <w:color w:val="000000"/>
          <w:sz w:val="24"/>
          <w:szCs w:val="24"/>
          <w:highlight w:val="none"/>
        </w:rPr>
        <w:t>2.13 合同中止、终止</w:t>
      </w:r>
      <w:bookmarkEnd w:id="214"/>
      <w:bookmarkEnd w:id="215"/>
      <w:bookmarkEnd w:id="216"/>
    </w:p>
    <w:p w14:paraId="0DB648BF">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2.13.1 双方当事人不得擅自中止或者终止合同；</w:t>
      </w:r>
    </w:p>
    <w:p w14:paraId="7DBA108E">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2A02CEDD">
      <w:pPr>
        <w:spacing w:line="560" w:lineRule="exact"/>
        <w:ind w:firstLine="482" w:firstLineChars="200"/>
        <w:rPr>
          <w:rFonts w:ascii="宋体" w:hAnsi="宋体" w:eastAsia="宋体" w:cs="宋体"/>
          <w:b/>
          <w:color w:val="000000"/>
          <w:sz w:val="24"/>
          <w:szCs w:val="24"/>
          <w:highlight w:val="none"/>
        </w:rPr>
      </w:pPr>
      <w:bookmarkStart w:id="217" w:name="_Toc17363"/>
      <w:bookmarkStart w:id="218" w:name="_Toc1969"/>
      <w:bookmarkStart w:id="219" w:name="_Toc14525"/>
      <w:r>
        <w:rPr>
          <w:rFonts w:hint="eastAsia" w:ascii="宋体" w:hAnsi="宋体" w:eastAsia="宋体" w:cs="宋体"/>
          <w:b/>
          <w:color w:val="000000"/>
          <w:sz w:val="24"/>
          <w:szCs w:val="24"/>
          <w:highlight w:val="none"/>
        </w:rPr>
        <w:t>2.14 检验和验收</w:t>
      </w:r>
      <w:bookmarkEnd w:id="217"/>
      <w:bookmarkEnd w:id="218"/>
      <w:bookmarkEnd w:id="219"/>
    </w:p>
    <w:p w14:paraId="5DD47D43">
      <w:pPr>
        <w:tabs>
          <w:tab w:val="left" w:pos="360"/>
          <w:tab w:val="left" w:pos="540"/>
          <w:tab w:val="left" w:pos="1080"/>
        </w:tabs>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2.14.1 乙方按照约定，定期提交服务报告，甲方定期进行验收；</w:t>
      </w:r>
    </w:p>
    <w:p w14:paraId="62EE315E">
      <w:pPr>
        <w:tabs>
          <w:tab w:val="left" w:pos="360"/>
          <w:tab w:val="left" w:pos="540"/>
          <w:tab w:val="left" w:pos="1080"/>
        </w:tabs>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2.14.2 合同期满或者履行完毕后，甲方有权组织（包括依法邀请国家认可的质量检测机构参加）对乙方履约的验收，即：按照合同约定的标准，组织对乙方履约情况的验收，并出具采购项目验收单；向社会公众提供的公共服务项目，验收时应当邀请服务对象参与并出具意见，验收结果应当向社会公告；</w:t>
      </w:r>
    </w:p>
    <w:bookmarkEnd w:id="181"/>
    <w:bookmarkEnd w:id="182"/>
    <w:bookmarkEnd w:id="183"/>
    <w:bookmarkEnd w:id="184"/>
    <w:p w14:paraId="6D24EE1A">
      <w:pPr>
        <w:spacing w:line="560" w:lineRule="exact"/>
        <w:ind w:firstLine="482" w:firstLineChars="200"/>
        <w:rPr>
          <w:rFonts w:ascii="宋体" w:hAnsi="宋体" w:eastAsia="宋体" w:cs="宋体"/>
          <w:b/>
          <w:color w:val="000000"/>
          <w:sz w:val="24"/>
          <w:szCs w:val="24"/>
          <w:highlight w:val="none"/>
        </w:rPr>
      </w:pPr>
      <w:bookmarkStart w:id="220" w:name="_Toc487900371"/>
      <w:bookmarkStart w:id="221" w:name="_Toc279701261"/>
      <w:bookmarkStart w:id="222" w:name="_Toc259093690"/>
      <w:bookmarkStart w:id="223" w:name="_Toc9808"/>
      <w:bookmarkStart w:id="224" w:name="_Toc25198"/>
      <w:bookmarkStart w:id="225" w:name="_Toc2308"/>
      <w:bookmarkStart w:id="226" w:name="_Toc31892"/>
      <w:bookmarkStart w:id="227" w:name="_Toc12666"/>
      <w:r>
        <w:rPr>
          <w:rFonts w:hint="eastAsia" w:ascii="宋体" w:hAnsi="宋体" w:eastAsia="宋体" w:cs="宋体"/>
          <w:b/>
          <w:color w:val="000000"/>
          <w:sz w:val="24"/>
          <w:szCs w:val="24"/>
          <w:highlight w:val="none"/>
        </w:rPr>
        <w:t>2.15 通知</w:t>
      </w:r>
      <w:bookmarkEnd w:id="220"/>
      <w:bookmarkEnd w:id="221"/>
      <w:bookmarkEnd w:id="222"/>
      <w:r>
        <w:rPr>
          <w:rFonts w:hint="eastAsia" w:ascii="宋体" w:hAnsi="宋体" w:eastAsia="宋体" w:cs="宋体"/>
          <w:b/>
          <w:color w:val="000000"/>
          <w:sz w:val="24"/>
          <w:szCs w:val="24"/>
          <w:highlight w:val="none"/>
        </w:rPr>
        <w:t>和送达</w:t>
      </w:r>
      <w:bookmarkEnd w:id="223"/>
      <w:bookmarkEnd w:id="224"/>
      <w:bookmarkEnd w:id="225"/>
      <w:bookmarkEnd w:id="226"/>
      <w:bookmarkEnd w:id="227"/>
    </w:p>
    <w:p w14:paraId="455462CD">
      <w:pPr>
        <w:spacing w:line="560" w:lineRule="exact"/>
        <w:ind w:firstLine="480" w:firstLineChars="200"/>
        <w:rPr>
          <w:rFonts w:ascii="宋体" w:hAnsi="宋体" w:eastAsia="宋体" w:cs="宋体"/>
          <w:color w:val="000000"/>
          <w:sz w:val="24"/>
          <w:szCs w:val="24"/>
          <w:highlight w:val="none"/>
        </w:rPr>
      </w:pPr>
      <w:bookmarkStart w:id="228" w:name="_Toc29220"/>
      <w:bookmarkStart w:id="229" w:name="_Toc7073"/>
      <w:bookmarkStart w:id="230" w:name="_Toc487900372"/>
      <w:bookmarkStart w:id="231" w:name="_Toc259093691"/>
      <w:bookmarkStart w:id="232" w:name="_Toc279701262"/>
      <w:r>
        <w:rPr>
          <w:rFonts w:hint="eastAsia" w:ascii="宋体" w:hAnsi="宋体" w:eastAsia="宋体" w:cs="宋体"/>
          <w:color w:val="000000"/>
          <w:sz w:val="24"/>
          <w:szCs w:val="24"/>
          <w:highlight w:val="none"/>
        </w:rPr>
        <w:t>2.15.1 任何一方因履行合同而以合同第一部分尾部所列明的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发出的所有通知、文件、材料，均视为已向对方当事人送达；任何一方变更上述送达方式或者地址的，应于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个工作日内书面通知对方当事人，在对方当事人收到有关变更通知之前，变更前的约定送达方式或者地址仍视为有效。</w:t>
      </w:r>
      <w:bookmarkEnd w:id="228"/>
      <w:bookmarkEnd w:id="229"/>
    </w:p>
    <w:p w14:paraId="461292C2">
      <w:pPr>
        <w:spacing w:line="560" w:lineRule="exact"/>
        <w:ind w:firstLine="480" w:firstLineChars="200"/>
        <w:rPr>
          <w:rFonts w:ascii="宋体" w:hAnsi="宋体" w:eastAsia="宋体" w:cs="宋体"/>
          <w:color w:val="000000"/>
          <w:sz w:val="24"/>
          <w:szCs w:val="24"/>
          <w:highlight w:val="none"/>
        </w:rPr>
      </w:pPr>
      <w:bookmarkStart w:id="233" w:name="_Toc27674"/>
      <w:bookmarkStart w:id="234" w:name="_Toc18401"/>
      <w:r>
        <w:rPr>
          <w:rFonts w:hint="eastAsia" w:ascii="宋体" w:hAnsi="宋体" w:eastAsia="宋体" w:cs="宋体"/>
          <w:color w:val="000000"/>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3"/>
      <w:bookmarkEnd w:id="234"/>
    </w:p>
    <w:bookmarkEnd w:id="230"/>
    <w:bookmarkEnd w:id="231"/>
    <w:bookmarkEnd w:id="232"/>
    <w:p w14:paraId="61DB745F">
      <w:pPr>
        <w:spacing w:line="560" w:lineRule="exact"/>
        <w:ind w:firstLine="482" w:firstLineChars="200"/>
        <w:rPr>
          <w:rFonts w:ascii="宋体" w:hAnsi="宋体" w:eastAsia="宋体" w:cs="宋体"/>
          <w:b/>
          <w:color w:val="000000"/>
          <w:sz w:val="24"/>
          <w:szCs w:val="24"/>
          <w:highlight w:val="none"/>
        </w:rPr>
      </w:pPr>
      <w:bookmarkStart w:id="235" w:name="_Toc259093692"/>
      <w:bookmarkStart w:id="236" w:name="_Toc12254"/>
      <w:bookmarkStart w:id="237" w:name="_Toc279701263"/>
      <w:bookmarkStart w:id="238" w:name="_Toc5063"/>
      <w:bookmarkStart w:id="239" w:name="_Toc27644"/>
      <w:bookmarkStart w:id="240" w:name="_Toc20808"/>
      <w:bookmarkStart w:id="241" w:name="_Toc487900373"/>
      <w:bookmarkStart w:id="242" w:name="_Toc28906"/>
      <w:r>
        <w:rPr>
          <w:rFonts w:hint="eastAsia" w:ascii="宋体" w:hAnsi="宋体" w:eastAsia="宋体" w:cs="宋体"/>
          <w:b/>
          <w:color w:val="000000"/>
          <w:sz w:val="24"/>
          <w:szCs w:val="24"/>
          <w:highlight w:val="none"/>
        </w:rPr>
        <w:t>2.16 合同使用的文字和适用的法律</w:t>
      </w:r>
      <w:bookmarkEnd w:id="235"/>
      <w:bookmarkEnd w:id="236"/>
      <w:bookmarkEnd w:id="237"/>
      <w:bookmarkEnd w:id="238"/>
      <w:bookmarkEnd w:id="239"/>
      <w:bookmarkEnd w:id="240"/>
      <w:bookmarkEnd w:id="241"/>
      <w:bookmarkEnd w:id="242"/>
    </w:p>
    <w:p w14:paraId="710402E5">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2.16.1 合同使用汉语书就、变更和解释；</w:t>
      </w:r>
    </w:p>
    <w:p w14:paraId="6140F7FC">
      <w:pPr>
        <w:spacing w:line="56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2.16.2 合同适用中华人民共和国法律。</w:t>
      </w:r>
    </w:p>
    <w:bookmarkEnd w:id="81"/>
    <w:bookmarkEnd w:id="82"/>
    <w:p w14:paraId="0F7C93FD">
      <w:pPr>
        <w:spacing w:line="560" w:lineRule="exact"/>
        <w:ind w:firstLine="480" w:firstLineChars="200"/>
        <w:rPr>
          <w:rFonts w:hint="eastAsia" w:ascii="宋体" w:hAnsi="宋体" w:cs="宋体"/>
          <w:color w:val="auto"/>
          <w:sz w:val="24"/>
          <w:szCs w:val="24"/>
          <w:highlight w:val="none"/>
        </w:rPr>
      </w:pPr>
    </w:p>
    <w:p w14:paraId="7D77119D">
      <w:pPr>
        <w:spacing w:line="360" w:lineRule="auto"/>
        <w:jc w:val="center"/>
        <w:outlineLvl w:val="0"/>
        <w:rPr>
          <w:rFonts w:hint="eastAsia" w:ascii="黑体" w:hAnsi="黑体" w:eastAsia="黑体"/>
          <w:color w:val="auto"/>
          <w:sz w:val="28"/>
          <w:highlight w:val="none"/>
        </w:rPr>
      </w:pPr>
    </w:p>
    <w:p w14:paraId="4BA1D2C3">
      <w:pPr>
        <w:spacing w:line="360" w:lineRule="auto"/>
        <w:jc w:val="center"/>
        <w:outlineLvl w:val="0"/>
        <w:rPr>
          <w:rFonts w:hint="eastAsia" w:ascii="黑体" w:hAnsi="黑体" w:eastAsia="黑体"/>
          <w:color w:val="auto"/>
          <w:sz w:val="28"/>
          <w:highlight w:val="none"/>
        </w:rPr>
      </w:pPr>
    </w:p>
    <w:p w14:paraId="77A9F18D">
      <w:pPr>
        <w:pStyle w:val="12"/>
        <w:ind w:firstLine="560"/>
        <w:rPr>
          <w:rFonts w:hint="eastAsia" w:ascii="黑体" w:hAnsi="黑体" w:eastAsia="黑体"/>
          <w:color w:val="auto"/>
          <w:sz w:val="28"/>
          <w:highlight w:val="none"/>
        </w:rPr>
      </w:pPr>
    </w:p>
    <w:p w14:paraId="08E785A9">
      <w:pPr>
        <w:pStyle w:val="12"/>
        <w:ind w:firstLine="560"/>
        <w:rPr>
          <w:rFonts w:hint="eastAsia" w:ascii="黑体" w:hAnsi="黑体" w:eastAsia="黑体"/>
          <w:color w:val="auto"/>
          <w:sz w:val="28"/>
          <w:highlight w:val="none"/>
        </w:rPr>
      </w:pPr>
    </w:p>
    <w:p w14:paraId="6EFB1607">
      <w:pPr>
        <w:pStyle w:val="12"/>
        <w:ind w:firstLine="560"/>
        <w:rPr>
          <w:rFonts w:hint="eastAsia" w:ascii="黑体" w:hAnsi="黑体" w:eastAsia="黑体"/>
          <w:color w:val="auto"/>
          <w:sz w:val="28"/>
          <w:highlight w:val="none"/>
        </w:rPr>
      </w:pPr>
    </w:p>
    <w:p w14:paraId="4B1FFC7D">
      <w:pPr>
        <w:pStyle w:val="12"/>
        <w:ind w:firstLine="560"/>
        <w:rPr>
          <w:rFonts w:hint="eastAsia" w:ascii="黑体" w:hAnsi="黑体" w:eastAsia="黑体"/>
          <w:color w:val="auto"/>
          <w:sz w:val="28"/>
          <w:highlight w:val="none"/>
        </w:rPr>
      </w:pPr>
    </w:p>
    <w:p w14:paraId="78831CE8">
      <w:pPr>
        <w:pStyle w:val="12"/>
        <w:ind w:firstLine="560"/>
        <w:rPr>
          <w:rFonts w:hint="eastAsia" w:ascii="黑体" w:hAnsi="黑体" w:eastAsia="黑体"/>
          <w:color w:val="auto"/>
          <w:sz w:val="28"/>
          <w:highlight w:val="none"/>
        </w:rPr>
      </w:pPr>
    </w:p>
    <w:p w14:paraId="2D9494EC">
      <w:pPr>
        <w:pStyle w:val="12"/>
        <w:ind w:firstLine="560"/>
        <w:rPr>
          <w:rFonts w:hint="eastAsia" w:ascii="黑体" w:hAnsi="黑体" w:eastAsia="黑体"/>
          <w:color w:val="auto"/>
          <w:sz w:val="28"/>
          <w:highlight w:val="none"/>
        </w:rPr>
      </w:pPr>
    </w:p>
    <w:p w14:paraId="35AFB162">
      <w:pPr>
        <w:pStyle w:val="12"/>
        <w:ind w:firstLine="560"/>
        <w:rPr>
          <w:rFonts w:hint="eastAsia" w:ascii="黑体" w:hAnsi="黑体" w:eastAsia="黑体"/>
          <w:color w:val="auto"/>
          <w:sz w:val="28"/>
          <w:highlight w:val="none"/>
        </w:rPr>
      </w:pPr>
    </w:p>
    <w:p w14:paraId="1FD56AFB">
      <w:pPr>
        <w:pStyle w:val="12"/>
        <w:ind w:firstLine="560"/>
        <w:rPr>
          <w:rFonts w:hint="eastAsia" w:ascii="黑体" w:hAnsi="黑体" w:eastAsia="黑体"/>
          <w:color w:val="auto"/>
          <w:sz w:val="28"/>
          <w:highlight w:val="none"/>
        </w:rPr>
      </w:pPr>
    </w:p>
    <w:p w14:paraId="3713F83D">
      <w:pPr>
        <w:pStyle w:val="12"/>
        <w:ind w:firstLine="560"/>
        <w:rPr>
          <w:rFonts w:hint="eastAsia" w:ascii="黑体" w:hAnsi="黑体" w:eastAsia="黑体"/>
          <w:color w:val="auto"/>
          <w:sz w:val="28"/>
          <w:highlight w:val="none"/>
        </w:rPr>
      </w:pPr>
    </w:p>
    <w:p w14:paraId="76B87E8A">
      <w:pPr>
        <w:pStyle w:val="12"/>
        <w:ind w:firstLine="560"/>
        <w:rPr>
          <w:rFonts w:hint="eastAsia" w:ascii="黑体" w:hAnsi="黑体" w:eastAsia="黑体"/>
          <w:color w:val="auto"/>
          <w:sz w:val="28"/>
          <w:highlight w:val="none"/>
        </w:rPr>
      </w:pPr>
    </w:p>
    <w:p w14:paraId="76032E33">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第六章 附件（投标文件格式）</w:t>
      </w:r>
      <w:bookmarkEnd w:id="74"/>
      <w:bookmarkEnd w:id="75"/>
    </w:p>
    <w:p w14:paraId="30015609">
      <w:pPr>
        <w:rPr>
          <w:rFonts w:hint="eastAsia"/>
          <w:color w:val="auto"/>
          <w:highlight w:val="none"/>
        </w:rPr>
      </w:pPr>
    </w:p>
    <w:p w14:paraId="24CAB94E">
      <w:pPr>
        <w:rPr>
          <w:rFonts w:hint="eastAsia"/>
          <w:color w:val="auto"/>
          <w:highlight w:val="none"/>
        </w:rPr>
      </w:pPr>
    </w:p>
    <w:p w14:paraId="781CD871">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151AA5B3">
      <w:pPr>
        <w:jc w:val="center"/>
        <w:rPr>
          <w:rFonts w:hint="eastAsia" w:ascii="宋体" w:hAnsi="宋体"/>
          <w:b/>
          <w:color w:val="auto"/>
          <w:sz w:val="32"/>
          <w:szCs w:val="32"/>
          <w:highlight w:val="none"/>
        </w:rPr>
      </w:pPr>
    </w:p>
    <w:p w14:paraId="13D5EAD7">
      <w:pPr>
        <w:jc w:val="center"/>
        <w:rPr>
          <w:rFonts w:hint="eastAsia" w:ascii="宋体" w:hAnsi="宋体"/>
          <w:b/>
          <w:color w:val="auto"/>
          <w:sz w:val="32"/>
          <w:szCs w:val="32"/>
          <w:highlight w:val="none"/>
        </w:rPr>
      </w:pPr>
    </w:p>
    <w:p w14:paraId="4BD4427E">
      <w:pPr>
        <w:rPr>
          <w:rFonts w:hint="eastAsia" w:ascii="宋体" w:hAnsi="宋体"/>
          <w:b/>
          <w:color w:val="auto"/>
          <w:sz w:val="32"/>
          <w:szCs w:val="32"/>
          <w:highlight w:val="none"/>
        </w:rPr>
      </w:pPr>
    </w:p>
    <w:p w14:paraId="37CAB502">
      <w:pPr>
        <w:rPr>
          <w:rFonts w:hint="eastAsia" w:ascii="宋体" w:hAnsi="宋体"/>
          <w:b/>
          <w:color w:val="auto"/>
          <w:sz w:val="32"/>
          <w:szCs w:val="32"/>
          <w:highlight w:val="none"/>
        </w:rPr>
      </w:pPr>
    </w:p>
    <w:p w14:paraId="7F4B3F04">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14:paraId="02BA390B">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B785496">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53C93A62">
      <w:pPr>
        <w:rPr>
          <w:rFonts w:hint="eastAsia" w:ascii="楷体_GB2312" w:eastAsia="楷体_GB2312"/>
          <w:b/>
          <w:color w:val="auto"/>
          <w:sz w:val="32"/>
          <w:szCs w:val="32"/>
          <w:highlight w:val="none"/>
        </w:rPr>
      </w:pPr>
    </w:p>
    <w:p w14:paraId="291973F1">
      <w:pPr>
        <w:rPr>
          <w:rFonts w:hint="eastAsia" w:ascii="楷体_GB2312" w:eastAsia="楷体_GB2312"/>
          <w:b/>
          <w:color w:val="auto"/>
          <w:sz w:val="32"/>
          <w:szCs w:val="32"/>
          <w:highlight w:val="none"/>
        </w:rPr>
      </w:pPr>
    </w:p>
    <w:p w14:paraId="13E1E978">
      <w:pPr>
        <w:rPr>
          <w:rFonts w:hint="eastAsia" w:ascii="楷体_GB2312" w:eastAsia="楷体_GB2312"/>
          <w:b/>
          <w:color w:val="auto"/>
          <w:sz w:val="32"/>
          <w:szCs w:val="32"/>
          <w:highlight w:val="none"/>
        </w:rPr>
      </w:pPr>
    </w:p>
    <w:p w14:paraId="6989E037">
      <w:pPr>
        <w:rPr>
          <w:rFonts w:hint="eastAsia" w:ascii="楷体_GB2312" w:eastAsia="楷体_GB2312"/>
          <w:b/>
          <w:color w:val="auto"/>
          <w:sz w:val="32"/>
          <w:szCs w:val="32"/>
          <w:highlight w:val="none"/>
        </w:rPr>
      </w:pPr>
    </w:p>
    <w:p w14:paraId="44310213">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1675157C">
      <w:pPr>
        <w:rPr>
          <w:rFonts w:ascii="宋体"/>
          <w:b/>
          <w:bCs/>
          <w:color w:val="auto"/>
          <w:sz w:val="24"/>
          <w:szCs w:val="24"/>
          <w:highlight w:val="none"/>
        </w:rPr>
      </w:pPr>
      <w:bookmarkStart w:id="243"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05504CEA">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B595F1D">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致宜兴市环保集团有限公司、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4376799">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我方收到你们宜兴市环科园喷涂“绿岛”项目深度调研服务招标文件，经仔细阅读和研究，我方决定参加投标。</w:t>
      </w:r>
    </w:p>
    <w:p w14:paraId="63D2CF71">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430AD7D0">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2B01C456">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5EC99C2D">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723CBA5B">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7CBB3518">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250AD1BB">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0B2B77DE">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24BBFCA5">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379F057E">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如有违反，无条件接受相关管理部门的处罚。</w:t>
      </w:r>
    </w:p>
    <w:p w14:paraId="7953FC51">
      <w:pPr>
        <w:numPr>
          <w:ilvl w:val="0"/>
          <w:numId w:val="9"/>
        </w:numPr>
        <w:spacing w:line="360" w:lineRule="auto"/>
        <w:ind w:firstLine="480" w:firstLineChars="200"/>
        <w:rPr>
          <w:rFonts w:hint="eastAsia" w:ascii="宋体" w:hAnsi="宋体"/>
          <w:bCs/>
          <w:color w:val="auto"/>
          <w:sz w:val="24"/>
          <w:highlight w:val="none"/>
          <w:lang w:val="zh-CN"/>
        </w:rPr>
      </w:pPr>
      <w:bookmarkStart w:id="244" w:name="OLE_LINK231"/>
      <w:bookmarkStart w:id="245" w:name="OLE_LINK281"/>
      <w:r>
        <w:rPr>
          <w:rFonts w:hint="eastAsia" w:ascii="宋体" w:hAnsi="宋体"/>
          <w:bCs/>
          <w:color w:val="auto"/>
          <w:sz w:val="24"/>
          <w:highlight w:val="none"/>
          <w:lang w:val="zh-CN"/>
        </w:rPr>
        <w:t>我方不是为本项目提供整体设计、规范编制或者项目管理、监理、检测等服务的供应商。</w:t>
      </w:r>
      <w:bookmarkEnd w:id="244"/>
    </w:p>
    <w:p w14:paraId="1BD0D280">
      <w:pPr>
        <w:numPr>
          <w:ilvl w:val="0"/>
          <w:numId w:val="9"/>
        </w:numPr>
        <w:spacing w:line="360" w:lineRule="auto"/>
        <w:ind w:firstLine="480" w:firstLineChars="200"/>
        <w:rPr>
          <w:rFonts w:hint="eastAsia" w:ascii="宋体" w:hAnsi="宋体"/>
          <w:bCs/>
          <w:color w:val="auto"/>
          <w:sz w:val="24"/>
          <w:highlight w:val="none"/>
          <w:lang w:val="zh-CN"/>
        </w:rPr>
      </w:pPr>
      <w:bookmarkStart w:id="246" w:name="OLE_LINK233"/>
      <w:r>
        <w:rPr>
          <w:rFonts w:hint="eastAsia" w:ascii="宋体" w:hAnsi="宋体"/>
          <w:bCs/>
          <w:color w:val="auto"/>
          <w:sz w:val="24"/>
          <w:highlight w:val="none"/>
          <w:lang w:val="zh-CN"/>
        </w:rPr>
        <w:t>关联单位情况说明：</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337A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1AE4A1B9">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0C3A75B3">
            <w:pPr>
              <w:spacing w:line="360" w:lineRule="auto"/>
              <w:rPr>
                <w:rFonts w:hint="eastAsia" w:ascii="宋体" w:hAnsi="宋体"/>
                <w:bCs/>
                <w:color w:val="auto"/>
                <w:sz w:val="24"/>
                <w:highlight w:val="none"/>
                <w:lang w:val="zh-CN"/>
              </w:rPr>
            </w:pPr>
          </w:p>
        </w:tc>
      </w:tr>
      <w:tr w14:paraId="6CE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32F5478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7A019A8A">
            <w:pPr>
              <w:spacing w:line="360" w:lineRule="auto"/>
              <w:rPr>
                <w:rFonts w:hint="eastAsia" w:ascii="宋体" w:hAnsi="宋体"/>
                <w:bCs/>
                <w:color w:val="auto"/>
                <w:sz w:val="24"/>
                <w:highlight w:val="none"/>
                <w:lang w:val="zh-CN"/>
              </w:rPr>
            </w:pPr>
          </w:p>
        </w:tc>
      </w:tr>
    </w:tbl>
    <w:p w14:paraId="245AA2A8">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5872BF04">
      <w:pPr>
        <w:numPr>
          <w:ilvl w:val="0"/>
          <w:numId w:val="9"/>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765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36BB84F">
            <w:pPr>
              <w:spacing w:line="360" w:lineRule="auto"/>
              <w:jc w:val="center"/>
              <w:rPr>
                <w:rFonts w:ascii="宋体" w:hAnsi="宋体"/>
                <w:bCs/>
                <w:color w:val="auto"/>
                <w:sz w:val="24"/>
                <w:highlight w:val="none"/>
                <w:lang w:val="zh-CN"/>
              </w:rPr>
            </w:pPr>
            <w:bookmarkStart w:id="247" w:name="OLE_LINK249"/>
            <w:r>
              <w:rPr>
                <w:rFonts w:hint="eastAsia" w:ascii="宋体" w:hAnsi="宋体"/>
                <w:bCs/>
                <w:color w:val="auto"/>
                <w:sz w:val="24"/>
                <w:highlight w:val="none"/>
                <w:lang w:val="zh-CN"/>
              </w:rPr>
              <w:t>地址</w:t>
            </w:r>
          </w:p>
        </w:tc>
        <w:tc>
          <w:tcPr>
            <w:tcW w:w="2928" w:type="dxa"/>
            <w:noWrap w:val="0"/>
            <w:vAlign w:val="center"/>
          </w:tcPr>
          <w:p w14:paraId="600CF62D">
            <w:pPr>
              <w:spacing w:line="360" w:lineRule="auto"/>
              <w:jc w:val="center"/>
              <w:rPr>
                <w:rFonts w:hint="eastAsia" w:ascii="宋体" w:hAnsi="宋体"/>
                <w:bCs/>
                <w:color w:val="auto"/>
                <w:sz w:val="24"/>
                <w:highlight w:val="none"/>
                <w:lang w:val="zh-CN"/>
              </w:rPr>
            </w:pPr>
          </w:p>
        </w:tc>
        <w:tc>
          <w:tcPr>
            <w:tcW w:w="1252" w:type="dxa"/>
            <w:noWrap w:val="0"/>
            <w:vAlign w:val="center"/>
          </w:tcPr>
          <w:p w14:paraId="6BECFADC">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63290F25">
            <w:pPr>
              <w:spacing w:line="360" w:lineRule="auto"/>
              <w:jc w:val="center"/>
              <w:rPr>
                <w:rFonts w:hint="eastAsia" w:ascii="宋体" w:hAnsi="宋体"/>
                <w:bCs/>
                <w:color w:val="auto"/>
                <w:sz w:val="24"/>
                <w:highlight w:val="none"/>
                <w:lang w:val="zh-CN"/>
              </w:rPr>
            </w:pPr>
          </w:p>
        </w:tc>
      </w:tr>
      <w:tr w14:paraId="1F46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539012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32E48EA6">
            <w:pPr>
              <w:spacing w:line="360" w:lineRule="auto"/>
              <w:jc w:val="center"/>
              <w:rPr>
                <w:rFonts w:hint="eastAsia" w:ascii="宋体" w:hAnsi="宋体"/>
                <w:bCs/>
                <w:color w:val="auto"/>
                <w:sz w:val="24"/>
                <w:highlight w:val="none"/>
                <w:lang w:val="zh-CN"/>
              </w:rPr>
            </w:pPr>
          </w:p>
        </w:tc>
        <w:tc>
          <w:tcPr>
            <w:tcW w:w="1252" w:type="dxa"/>
            <w:noWrap w:val="0"/>
            <w:vAlign w:val="center"/>
          </w:tcPr>
          <w:p w14:paraId="582C655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3EBED445">
            <w:pPr>
              <w:spacing w:line="360" w:lineRule="auto"/>
              <w:jc w:val="center"/>
              <w:rPr>
                <w:rFonts w:hint="eastAsia" w:ascii="宋体" w:hAnsi="宋体"/>
                <w:bCs/>
                <w:color w:val="auto"/>
                <w:sz w:val="24"/>
                <w:highlight w:val="none"/>
                <w:lang w:val="zh-CN"/>
              </w:rPr>
            </w:pPr>
          </w:p>
        </w:tc>
      </w:tr>
      <w:tr w14:paraId="12F9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40E45B64">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60852BD0">
            <w:pPr>
              <w:spacing w:line="360" w:lineRule="auto"/>
              <w:jc w:val="center"/>
              <w:rPr>
                <w:rFonts w:hint="eastAsia" w:ascii="宋体" w:hAnsi="宋体"/>
                <w:bCs/>
                <w:color w:val="auto"/>
                <w:sz w:val="24"/>
                <w:highlight w:val="none"/>
                <w:lang w:val="zh-CN"/>
              </w:rPr>
            </w:pPr>
          </w:p>
        </w:tc>
        <w:tc>
          <w:tcPr>
            <w:tcW w:w="1252" w:type="dxa"/>
            <w:noWrap w:val="0"/>
            <w:vAlign w:val="center"/>
          </w:tcPr>
          <w:p w14:paraId="76919C9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6D8444E4">
            <w:pPr>
              <w:spacing w:line="360" w:lineRule="auto"/>
              <w:jc w:val="center"/>
              <w:rPr>
                <w:rFonts w:hint="eastAsia" w:ascii="宋体" w:hAnsi="宋体"/>
                <w:bCs/>
                <w:color w:val="auto"/>
                <w:sz w:val="24"/>
                <w:highlight w:val="none"/>
                <w:lang w:val="zh-CN"/>
              </w:rPr>
            </w:pPr>
          </w:p>
        </w:tc>
      </w:tr>
      <w:tr w14:paraId="33E0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7D91B7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52216C35">
            <w:pPr>
              <w:spacing w:line="360" w:lineRule="auto"/>
              <w:jc w:val="center"/>
              <w:rPr>
                <w:rFonts w:hint="eastAsia" w:ascii="宋体" w:hAnsi="宋体"/>
                <w:bCs/>
                <w:color w:val="auto"/>
                <w:sz w:val="24"/>
                <w:highlight w:val="none"/>
                <w:lang w:val="zh-CN"/>
              </w:rPr>
            </w:pPr>
          </w:p>
        </w:tc>
        <w:tc>
          <w:tcPr>
            <w:tcW w:w="1252" w:type="dxa"/>
            <w:noWrap w:val="0"/>
            <w:vAlign w:val="center"/>
          </w:tcPr>
          <w:p w14:paraId="6B492E6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5F875D62">
            <w:pPr>
              <w:spacing w:line="360" w:lineRule="auto"/>
              <w:jc w:val="center"/>
              <w:rPr>
                <w:rFonts w:hint="eastAsia" w:ascii="宋体" w:hAnsi="宋体"/>
                <w:bCs/>
                <w:color w:val="auto"/>
                <w:sz w:val="24"/>
                <w:highlight w:val="none"/>
                <w:lang w:val="zh-CN"/>
              </w:rPr>
            </w:pPr>
          </w:p>
        </w:tc>
      </w:tr>
      <w:tr w14:paraId="3E42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48EA5F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54FFED45">
            <w:pPr>
              <w:spacing w:line="360" w:lineRule="auto"/>
              <w:jc w:val="center"/>
              <w:rPr>
                <w:rFonts w:hint="eastAsia" w:ascii="宋体" w:hAnsi="宋体"/>
                <w:bCs/>
                <w:color w:val="auto"/>
                <w:sz w:val="24"/>
                <w:highlight w:val="none"/>
                <w:lang w:val="zh-CN"/>
              </w:rPr>
            </w:pPr>
          </w:p>
        </w:tc>
      </w:tr>
      <w:tr w14:paraId="4325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93DEE48">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602EB490">
            <w:pPr>
              <w:spacing w:line="360" w:lineRule="auto"/>
              <w:jc w:val="center"/>
              <w:rPr>
                <w:rFonts w:hint="eastAsia" w:ascii="宋体" w:hAnsi="宋体"/>
                <w:bCs/>
                <w:color w:val="auto"/>
                <w:sz w:val="24"/>
                <w:highlight w:val="none"/>
                <w:lang w:val="zh-CN"/>
              </w:rPr>
            </w:pPr>
          </w:p>
        </w:tc>
        <w:tc>
          <w:tcPr>
            <w:tcW w:w="1252" w:type="dxa"/>
            <w:noWrap w:val="0"/>
            <w:vAlign w:val="center"/>
          </w:tcPr>
          <w:p w14:paraId="2A0CC7E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30AFD0BE">
            <w:pPr>
              <w:spacing w:line="360" w:lineRule="auto"/>
              <w:jc w:val="center"/>
              <w:rPr>
                <w:rFonts w:hint="eastAsia" w:ascii="宋体" w:hAnsi="宋体"/>
                <w:bCs/>
                <w:color w:val="auto"/>
                <w:sz w:val="24"/>
                <w:highlight w:val="none"/>
                <w:lang w:val="zh-CN"/>
              </w:rPr>
            </w:pPr>
          </w:p>
        </w:tc>
      </w:tr>
      <w:bookmarkEnd w:id="245"/>
      <w:bookmarkEnd w:id="246"/>
      <w:bookmarkEnd w:id="247"/>
    </w:tbl>
    <w:p w14:paraId="196BF236">
      <w:pPr>
        <w:ind w:firstLine="480" w:firstLineChars="200"/>
        <w:rPr>
          <w:rFonts w:hint="eastAsia" w:ascii="黑体" w:hAnsi="宋体" w:eastAsia="黑体"/>
          <w:bCs/>
          <w:color w:val="auto"/>
          <w:sz w:val="24"/>
          <w:szCs w:val="24"/>
          <w:highlight w:val="none"/>
        </w:rPr>
      </w:pPr>
    </w:p>
    <w:p w14:paraId="5D295108">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5AD041F9">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79391343">
      <w:pPr>
        <w:ind w:firstLine="480" w:firstLineChars="200"/>
        <w:rPr>
          <w:rFonts w:hint="eastAsia" w:ascii="黑体" w:hAnsi="宋体" w:eastAsia="黑体"/>
          <w:bCs/>
          <w:color w:val="auto"/>
          <w:sz w:val="24"/>
          <w:szCs w:val="24"/>
          <w:highlight w:val="none"/>
        </w:rPr>
      </w:pPr>
    </w:p>
    <w:bookmarkEnd w:id="243"/>
    <w:p w14:paraId="61A04B8C">
      <w:pPr>
        <w:jc w:val="left"/>
        <w:rPr>
          <w:rFonts w:hint="eastAsia" w:ascii="黑体" w:hAnsi="宋体" w:eastAsia="黑体"/>
          <w:bCs/>
          <w:color w:val="auto"/>
          <w:sz w:val="24"/>
          <w:szCs w:val="24"/>
          <w:highlight w:val="none"/>
        </w:rPr>
      </w:pPr>
      <w:bookmarkStart w:id="248" w:name="OLE_LINK146"/>
      <w:bookmarkStart w:id="249"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48"/>
    </w:p>
    <w:p w14:paraId="4C13C7F6">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77392C11">
      <w:pPr>
        <w:spacing w:before="156" w:beforeLines="50" w:after="156" w:afterLines="50"/>
        <w:jc w:val="center"/>
        <w:rPr>
          <w:rFonts w:hint="eastAsia" w:ascii="黑体" w:hAnsi="黑体" w:eastAsia="黑体"/>
          <w:color w:val="auto"/>
          <w:sz w:val="28"/>
          <w:szCs w:val="28"/>
          <w:highlight w:val="none"/>
        </w:rPr>
      </w:pPr>
      <w:bookmarkStart w:id="250" w:name="_Toc32423"/>
      <w:r>
        <w:rPr>
          <w:rFonts w:hint="eastAsia" w:ascii="黑体" w:eastAsia="黑体"/>
          <w:bCs/>
          <w:color w:val="auto"/>
          <w:sz w:val="28"/>
          <w:szCs w:val="28"/>
          <w:highlight w:val="none"/>
        </w:rPr>
        <w:t>开标一览表</w:t>
      </w:r>
      <w:bookmarkEnd w:id="250"/>
    </w:p>
    <w:p w14:paraId="115AA5CB">
      <w:pPr>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81CE79E">
      <w:pPr>
        <w:ind w:left="1"/>
        <w:rPr>
          <w:rFonts w:hint="eastAsia" w:ascii="宋体" w:hAnsi="宋体"/>
          <w:color w:val="auto"/>
          <w:sz w:val="24"/>
          <w:szCs w:val="24"/>
          <w:highlight w:val="none"/>
        </w:rPr>
      </w:pPr>
      <w:r>
        <w:rPr>
          <w:rFonts w:hint="eastAsia" w:ascii="宋体" w:hAnsi="宋体"/>
          <w:color w:val="auto"/>
          <w:sz w:val="24"/>
          <w:szCs w:val="24"/>
          <w:highlight w:val="none"/>
        </w:rPr>
        <w:t xml:space="preserve">投标人名称（盖章）：                                               </w:t>
      </w:r>
    </w:p>
    <w:tbl>
      <w:tblPr>
        <w:tblStyle w:val="3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210"/>
        <w:gridCol w:w="1363"/>
        <w:gridCol w:w="1150"/>
        <w:gridCol w:w="1012"/>
        <w:gridCol w:w="1088"/>
      </w:tblGrid>
      <w:tr w14:paraId="2689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27B4907">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47CDAA7">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593688C">
            <w:pPr>
              <w:jc w:val="center"/>
              <w:rPr>
                <w:rFonts w:hint="eastAsia" w:ascii="宋体" w:hAnsi="宋体"/>
                <w:color w:val="auto"/>
                <w:sz w:val="24"/>
                <w:szCs w:val="28"/>
                <w:highlight w:val="none"/>
              </w:rPr>
            </w:pPr>
            <w:r>
              <w:rPr>
                <w:rFonts w:hint="eastAsia" w:ascii="宋体" w:hAnsi="宋体"/>
                <w:color w:val="auto"/>
                <w:sz w:val="24"/>
                <w:szCs w:val="28"/>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5EECCC2">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3385CDE">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9732964">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4A89062">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425C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D96197E">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5F30177">
            <w:pPr>
              <w:jc w:val="center"/>
              <w:rPr>
                <w:rFonts w:hint="eastAsia" w:ascii="宋体" w:hAnsi="宋体" w:eastAsia="宋体"/>
                <w:color w:val="auto"/>
                <w:sz w:val="24"/>
                <w:szCs w:val="28"/>
                <w:highlight w:val="none"/>
                <w:lang w:eastAsia="zh-CN"/>
              </w:rPr>
            </w:pPr>
            <w:r>
              <w:rPr>
                <w:rFonts w:hint="eastAsia" w:ascii="宋体" w:hAnsi="宋体"/>
                <w:bCs/>
                <w:color w:val="auto"/>
                <w:sz w:val="24"/>
                <w:highlight w:val="none"/>
                <w:lang w:val="zh-CN"/>
              </w:rPr>
              <w:t>宜兴市环科园喷涂“绿岛”项目深度调研服务</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8186A83">
            <w:pPr>
              <w:jc w:val="center"/>
              <w:rPr>
                <w:rFonts w:ascii="宋体" w:hAnsi="宋体"/>
                <w:color w:val="auto"/>
                <w:sz w:val="24"/>
                <w:szCs w:val="28"/>
                <w:highlight w:val="none"/>
              </w:rPr>
            </w:pPr>
            <w:r>
              <w:rPr>
                <w:rFonts w:hint="eastAsia" w:ascii="宋体" w:hAnsi="宋体"/>
                <w:color w:val="auto"/>
                <w:sz w:val="24"/>
                <w:szCs w:val="28"/>
                <w:highlight w:val="none"/>
              </w:rPr>
              <w:t>1项</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D34098C">
            <w:pPr>
              <w:jc w:val="center"/>
              <w:rPr>
                <w:rFonts w:ascii="宋体" w:hAnsi="宋体"/>
                <w:color w:val="auto"/>
                <w:sz w:val="24"/>
                <w:szCs w:val="28"/>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0B6941A">
            <w:pPr>
              <w:jc w:val="center"/>
              <w:rPr>
                <w:rFonts w:ascii="宋体" w:hAnsi="宋体"/>
                <w:color w:val="auto"/>
                <w:sz w:val="24"/>
                <w:szCs w:val="28"/>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172C609">
            <w:pPr>
              <w:jc w:val="center"/>
              <w:rPr>
                <w:rFonts w:ascii="宋体" w:hAnsi="宋体"/>
                <w:color w:val="auto"/>
                <w:sz w:val="24"/>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72C2357">
            <w:pPr>
              <w:jc w:val="center"/>
              <w:rPr>
                <w:rFonts w:ascii="宋体" w:hAnsi="宋体"/>
                <w:color w:val="auto"/>
                <w:sz w:val="24"/>
                <w:szCs w:val="28"/>
                <w:highlight w:val="none"/>
              </w:rPr>
            </w:pPr>
          </w:p>
        </w:tc>
      </w:tr>
      <w:tr w14:paraId="7AA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7158A62">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DDDC044">
            <w:pPr>
              <w:rPr>
                <w:rFonts w:ascii="宋体" w:hAnsi="宋体"/>
                <w:color w:val="auto"/>
                <w:sz w:val="24"/>
                <w:szCs w:val="28"/>
                <w:highlight w:val="none"/>
              </w:rPr>
            </w:pPr>
            <w:r>
              <w:rPr>
                <w:rFonts w:hint="eastAsia" w:ascii="宋体" w:hAnsi="宋体"/>
                <w:color w:val="auto"/>
                <w:sz w:val="24"/>
                <w:szCs w:val="28"/>
                <w:highlight w:val="none"/>
              </w:rPr>
              <w:t>（小写）</w:t>
            </w:r>
          </w:p>
        </w:tc>
      </w:tr>
      <w:tr w14:paraId="010C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BC7EFF">
            <w:pPr>
              <w:widowControl/>
              <w:jc w:val="left"/>
              <w:rPr>
                <w:rFonts w:ascii="宋体" w:hAnsi="宋体"/>
                <w:color w:val="auto"/>
                <w:sz w:val="24"/>
                <w:szCs w:val="28"/>
                <w:highlight w:val="none"/>
              </w:rPr>
            </w:pP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EDFA951">
            <w:pPr>
              <w:rPr>
                <w:rFonts w:ascii="宋体" w:hAnsi="宋体"/>
                <w:color w:val="auto"/>
                <w:sz w:val="24"/>
                <w:szCs w:val="28"/>
                <w:highlight w:val="none"/>
              </w:rPr>
            </w:pPr>
            <w:r>
              <w:rPr>
                <w:rFonts w:hint="eastAsia" w:ascii="宋体" w:hAnsi="宋体"/>
                <w:color w:val="auto"/>
                <w:sz w:val="24"/>
                <w:szCs w:val="28"/>
                <w:highlight w:val="none"/>
              </w:rPr>
              <w:t>（大写）</w:t>
            </w:r>
          </w:p>
        </w:tc>
      </w:tr>
    </w:tbl>
    <w:p w14:paraId="492BD11D">
      <w:pPr>
        <w:ind w:left="1"/>
        <w:rPr>
          <w:rFonts w:hint="eastAsia" w:ascii="宋体" w:hAnsi="宋体"/>
          <w:color w:val="auto"/>
          <w:sz w:val="28"/>
          <w:szCs w:val="28"/>
          <w:highlight w:val="none"/>
        </w:rPr>
      </w:pPr>
    </w:p>
    <w:p w14:paraId="3D0662D9">
      <w:pPr>
        <w:ind w:left="1"/>
        <w:rPr>
          <w:rFonts w:hint="eastAsia" w:ascii="宋体" w:hAnsi="宋体"/>
          <w:color w:val="auto"/>
          <w:sz w:val="28"/>
          <w:szCs w:val="28"/>
          <w:highlight w:val="none"/>
        </w:rPr>
      </w:pPr>
    </w:p>
    <w:p w14:paraId="20A16EB0">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07766AC">
      <w:pPr>
        <w:pStyle w:val="12"/>
        <w:ind w:left="0" w:leftChars="0" w:firstLine="0" w:firstLineChars="0"/>
        <w:rPr>
          <w:rFonts w:hint="eastAsia" w:ascii="宋体" w:hAnsi="宋体"/>
          <w:color w:val="auto"/>
          <w:sz w:val="24"/>
          <w:szCs w:val="24"/>
          <w:highlight w:val="none"/>
        </w:rPr>
      </w:pPr>
    </w:p>
    <w:p w14:paraId="0A802222">
      <w:pPr>
        <w:pStyle w:val="12"/>
        <w:ind w:left="0" w:leftChars="0" w:firstLine="0" w:firstLineChars="0"/>
        <w:rPr>
          <w:rFonts w:hint="eastAsia" w:ascii="宋体" w:hAnsi="宋体"/>
          <w:color w:val="auto"/>
          <w:sz w:val="24"/>
          <w:szCs w:val="24"/>
          <w:highlight w:val="none"/>
        </w:rPr>
      </w:pPr>
    </w:p>
    <w:bookmarkEnd w:id="249"/>
    <w:p w14:paraId="0C9D51C0">
      <w:pPr>
        <w:ind w:left="1" w:firstLine="420" w:firstLineChars="200"/>
        <w:jc w:val="left"/>
        <w:rPr>
          <w:rFonts w:hint="eastAsia" w:ascii="宋体" w:hAnsi="宋体"/>
          <w:color w:val="auto"/>
          <w:szCs w:val="21"/>
          <w:highlight w:val="none"/>
          <w:lang w:val="zh-CN"/>
        </w:rPr>
      </w:pPr>
      <w:bookmarkStart w:id="251" w:name="OLE_LINK151"/>
      <w:r>
        <w:rPr>
          <w:rFonts w:hint="eastAsia" w:ascii="宋体" w:hAnsi="宋体"/>
          <w:color w:val="auto"/>
          <w:szCs w:val="21"/>
          <w:highlight w:val="none"/>
          <w:lang w:val="zh-CN"/>
        </w:rPr>
        <w:t>注：</w:t>
      </w:r>
    </w:p>
    <w:p w14:paraId="385BD359">
      <w:pPr>
        <w:numPr>
          <w:ilvl w:val="0"/>
          <w:numId w:val="10"/>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1D474F37">
      <w:pPr>
        <w:numPr>
          <w:ilvl w:val="0"/>
          <w:numId w:val="10"/>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每一项货物或服务仅接受一个价格，投标文件应对《开标一览表》中的全部货物或服务进行投标，只投其中部分货物或服务者，投标无效；</w:t>
      </w:r>
    </w:p>
    <w:p w14:paraId="4A68FB6B">
      <w:pPr>
        <w:numPr>
          <w:ilvl w:val="0"/>
          <w:numId w:val="10"/>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7ED7B44C">
      <w:pPr>
        <w:pStyle w:val="16"/>
        <w:ind w:left="0" w:leftChars="0"/>
        <w:rPr>
          <w:rFonts w:hint="eastAsia"/>
          <w:color w:val="auto"/>
          <w:highlight w:val="none"/>
        </w:rPr>
      </w:pPr>
    </w:p>
    <w:p w14:paraId="11A085AC">
      <w:pPr>
        <w:pStyle w:val="16"/>
        <w:ind w:left="1260"/>
        <w:rPr>
          <w:rFonts w:hint="eastAsia"/>
          <w:color w:val="auto"/>
          <w:highlight w:val="none"/>
        </w:rPr>
      </w:pPr>
    </w:p>
    <w:p w14:paraId="540FBE58">
      <w:pPr>
        <w:rPr>
          <w:rFonts w:hint="eastAsia"/>
          <w:color w:val="auto"/>
          <w:highlight w:val="none"/>
        </w:rPr>
      </w:pPr>
    </w:p>
    <w:p w14:paraId="280BF27C">
      <w:pPr>
        <w:pStyle w:val="12"/>
        <w:rPr>
          <w:rFonts w:hint="eastAsia"/>
          <w:color w:val="auto"/>
          <w:highlight w:val="none"/>
        </w:rPr>
      </w:pPr>
    </w:p>
    <w:p w14:paraId="4FED5281">
      <w:pPr>
        <w:pStyle w:val="16"/>
        <w:ind w:left="1260"/>
        <w:rPr>
          <w:rFonts w:hint="eastAsia"/>
          <w:color w:val="auto"/>
          <w:highlight w:val="none"/>
        </w:rPr>
      </w:pPr>
    </w:p>
    <w:p w14:paraId="2E4F7CF0">
      <w:pPr>
        <w:rPr>
          <w:rFonts w:hint="eastAsia"/>
          <w:color w:val="auto"/>
          <w:highlight w:val="none"/>
        </w:rPr>
      </w:pPr>
    </w:p>
    <w:p w14:paraId="6326321C">
      <w:pPr>
        <w:pStyle w:val="16"/>
        <w:ind w:left="1260"/>
        <w:rPr>
          <w:rFonts w:hint="eastAsia"/>
          <w:color w:val="auto"/>
          <w:highlight w:val="none"/>
        </w:rPr>
      </w:pPr>
    </w:p>
    <w:p w14:paraId="44AC2E44">
      <w:pPr>
        <w:rPr>
          <w:rFonts w:hint="eastAsia"/>
          <w:color w:val="auto"/>
          <w:highlight w:val="none"/>
        </w:rPr>
      </w:pPr>
      <w:r>
        <w:rPr>
          <w:rFonts w:hint="eastAsia"/>
          <w:color w:val="auto"/>
          <w:highlight w:val="none"/>
        </w:rPr>
        <w:br w:type="page"/>
      </w:r>
    </w:p>
    <w:p w14:paraId="4FE2BD65">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251"/>
    </w:p>
    <w:p w14:paraId="4687B3EC">
      <w:pPr>
        <w:ind w:firstLine="480" w:firstLineChars="200"/>
        <w:rPr>
          <w:rFonts w:ascii="黑体" w:eastAsia="黑体"/>
          <w:bCs/>
          <w:color w:val="auto"/>
          <w:sz w:val="36"/>
          <w:highlight w:val="none"/>
        </w:rPr>
      </w:pPr>
      <w:bookmarkStart w:id="252" w:name="_Toc8000"/>
      <w:r>
        <w:rPr>
          <w:rFonts w:hint="eastAsia" w:ascii="黑体" w:hAnsi="宋体" w:eastAsia="黑体"/>
          <w:bCs/>
          <w:color w:val="auto"/>
          <w:sz w:val="24"/>
          <w:szCs w:val="24"/>
          <w:highlight w:val="none"/>
        </w:rPr>
        <w:t>1、关于资格的声明函（格式）：</w:t>
      </w:r>
    </w:p>
    <w:p w14:paraId="4D2B6D05">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28BB71F2">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45AC8BE0">
      <w:pPr>
        <w:spacing w:line="480" w:lineRule="auto"/>
        <w:jc w:val="center"/>
        <w:rPr>
          <w:rFonts w:ascii="宋体"/>
          <w:bCs/>
          <w:color w:val="auto"/>
          <w:sz w:val="24"/>
          <w:szCs w:val="24"/>
          <w:highlight w:val="none"/>
        </w:rPr>
      </w:pPr>
    </w:p>
    <w:p w14:paraId="2C40C10B">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p>
    <w:p w14:paraId="7547C65F">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w:t>
      </w:r>
      <w:r>
        <w:rPr>
          <w:rFonts w:hint="eastAsia" w:ascii="宋体" w:hAnsi="宋体"/>
          <w:bCs/>
          <w:color w:val="auto"/>
          <w:sz w:val="24"/>
          <w:szCs w:val="24"/>
          <w:highlight w:val="none"/>
          <w:lang w:eastAsia="zh-CN"/>
        </w:rPr>
        <w:t>宜兴市环科园喷涂“绿岛”项目深度调研服务</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 xml:space="preserve">项目编号：   </w:t>
      </w:r>
      <w:r>
        <w:rPr>
          <w:rFonts w:hint="eastAsia" w:ascii="宋体" w:hAnsi="宋体"/>
          <w:bCs/>
          <w:color w:val="auto"/>
          <w:sz w:val="24"/>
          <w:szCs w:val="24"/>
          <w:highlight w:val="none"/>
        </w:rPr>
        <w:t xml:space="preserve">  </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253" w:name="OLE_LINK242"/>
      <w:r>
        <w:rPr>
          <w:rFonts w:hint="eastAsia" w:ascii="宋体" w:hAnsi="宋体"/>
          <w:bCs/>
          <w:color w:val="auto"/>
          <w:sz w:val="24"/>
          <w:szCs w:val="24"/>
          <w:highlight w:val="none"/>
        </w:rPr>
        <w:t>有效期限</w:t>
      </w:r>
      <w:bookmarkEnd w:id="253"/>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w:t>
      </w:r>
      <w:r>
        <w:rPr>
          <w:rFonts w:hint="eastAsia" w:ascii="宋体"/>
          <w:bCs/>
          <w:color w:val="auto"/>
          <w:sz w:val="24"/>
          <w:szCs w:val="24"/>
          <w:highlight w:val="none"/>
          <w:lang w:eastAsia="zh-CN"/>
        </w:rPr>
        <w:t>作出</w:t>
      </w:r>
      <w:r>
        <w:rPr>
          <w:rFonts w:ascii="宋体"/>
          <w:bCs/>
          <w:color w:val="auto"/>
          <w:sz w:val="24"/>
          <w:szCs w:val="24"/>
          <w:highlight w:val="none"/>
        </w:rPr>
        <w:t>的相关决定并承担由此而产生的一切后果</w:t>
      </w:r>
      <w:r>
        <w:rPr>
          <w:rFonts w:hint="eastAsia" w:ascii="宋体"/>
          <w:bCs/>
          <w:color w:val="auto"/>
          <w:sz w:val="24"/>
          <w:szCs w:val="24"/>
          <w:highlight w:val="none"/>
        </w:rPr>
        <w:t>。</w:t>
      </w:r>
    </w:p>
    <w:p w14:paraId="7290C5B4">
      <w:pPr>
        <w:spacing w:line="480" w:lineRule="auto"/>
        <w:rPr>
          <w:rFonts w:ascii="宋体"/>
          <w:bCs/>
          <w:color w:val="auto"/>
          <w:sz w:val="24"/>
          <w:szCs w:val="24"/>
          <w:highlight w:val="none"/>
        </w:rPr>
      </w:pPr>
    </w:p>
    <w:p w14:paraId="49CE120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5E9F5BA">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09E4B56B">
      <w:pPr>
        <w:spacing w:line="360" w:lineRule="auto"/>
        <w:jc w:val="center"/>
        <w:rPr>
          <w:rFonts w:hint="eastAsia" w:ascii="黑体" w:eastAsia="黑体"/>
          <w:bCs/>
          <w:color w:val="auto"/>
          <w:sz w:val="28"/>
          <w:szCs w:val="28"/>
          <w:highlight w:val="none"/>
        </w:rPr>
      </w:pPr>
    </w:p>
    <w:p w14:paraId="06D7FF7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9"/>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7E66F">
                            <w:pPr>
                              <w:jc w:val="left"/>
                              <w:rPr>
                                <w:rFonts w:hint="eastAsia" w:ascii="黑体" w:eastAsia="黑体"/>
                                <w:sz w:val="32"/>
                                <w:szCs w:val="32"/>
                              </w:rPr>
                            </w:pPr>
                          </w:p>
                          <w:p w14:paraId="4358160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A9D494">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9"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BKOQmdFgIAAEUE&#10;AAAOAAAAAAAAAAEAIAAAACgBAABkcnMvZTJvRG9jLnhtbFBLBQYAAAAABgAGAFkBAACwBQAAAAA=&#10;">
                <v:fill on="t" focussize="0,0"/>
                <v:stroke color="#000000" joinstyle="miter"/>
                <v:imagedata o:title=""/>
                <o:lock v:ext="edit" aspectratio="f"/>
                <v:textbox>
                  <w:txbxContent>
                    <w:p w14:paraId="6197E66F">
                      <w:pPr>
                        <w:jc w:val="left"/>
                        <w:rPr>
                          <w:rFonts w:hint="eastAsia" w:ascii="黑体" w:eastAsia="黑体"/>
                          <w:sz w:val="32"/>
                          <w:szCs w:val="32"/>
                        </w:rPr>
                      </w:pPr>
                    </w:p>
                    <w:p w14:paraId="4358160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A9D494">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0A9AB">
                            <w:pPr>
                              <w:jc w:val="left"/>
                              <w:rPr>
                                <w:rFonts w:hint="eastAsia" w:ascii="黑体" w:eastAsia="黑体"/>
                                <w:sz w:val="32"/>
                                <w:szCs w:val="32"/>
                              </w:rPr>
                            </w:pPr>
                          </w:p>
                          <w:p w14:paraId="7A398E49">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36DEB70">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4090A9AB">
                      <w:pPr>
                        <w:jc w:val="left"/>
                        <w:rPr>
                          <w:rFonts w:hint="eastAsia" w:ascii="黑体" w:eastAsia="黑体"/>
                          <w:sz w:val="32"/>
                          <w:szCs w:val="32"/>
                        </w:rPr>
                      </w:pPr>
                    </w:p>
                    <w:p w14:paraId="7A398E49">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36DEB70">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08C82CE7">
      <w:pPr>
        <w:spacing w:line="360" w:lineRule="auto"/>
        <w:rPr>
          <w:rFonts w:hint="eastAsia" w:ascii="黑体" w:eastAsia="黑体"/>
          <w:bCs/>
          <w:color w:val="auto"/>
          <w:sz w:val="28"/>
          <w:szCs w:val="28"/>
          <w:highlight w:val="none"/>
        </w:rPr>
      </w:pPr>
    </w:p>
    <w:p w14:paraId="00449B1C">
      <w:pPr>
        <w:spacing w:line="360" w:lineRule="auto"/>
        <w:jc w:val="center"/>
        <w:rPr>
          <w:rFonts w:hint="eastAsia" w:ascii="黑体" w:eastAsia="黑体"/>
          <w:bCs/>
          <w:color w:val="auto"/>
          <w:sz w:val="28"/>
          <w:szCs w:val="28"/>
          <w:highlight w:val="none"/>
        </w:rPr>
      </w:pPr>
    </w:p>
    <w:p w14:paraId="73C98AA6">
      <w:pPr>
        <w:spacing w:line="360" w:lineRule="auto"/>
        <w:jc w:val="center"/>
        <w:rPr>
          <w:rFonts w:hint="eastAsia" w:ascii="黑体" w:eastAsia="黑体"/>
          <w:bCs/>
          <w:color w:val="auto"/>
          <w:sz w:val="28"/>
          <w:szCs w:val="28"/>
          <w:highlight w:val="none"/>
        </w:rPr>
      </w:pPr>
    </w:p>
    <w:p w14:paraId="49FD8C17">
      <w:pPr>
        <w:spacing w:line="360" w:lineRule="auto"/>
        <w:jc w:val="center"/>
        <w:rPr>
          <w:rFonts w:hint="eastAsia" w:ascii="黑体" w:eastAsia="黑体"/>
          <w:bCs/>
          <w:color w:val="auto"/>
          <w:sz w:val="28"/>
          <w:szCs w:val="28"/>
          <w:highlight w:val="none"/>
        </w:rPr>
      </w:pPr>
    </w:p>
    <w:p w14:paraId="51FA09DD">
      <w:pPr>
        <w:rPr>
          <w:rFonts w:hint="eastAsia" w:ascii="黑体" w:hAnsi="宋体" w:eastAsia="黑体"/>
          <w:bCs/>
          <w:color w:val="auto"/>
          <w:sz w:val="24"/>
          <w:szCs w:val="24"/>
          <w:highlight w:val="none"/>
        </w:rPr>
      </w:pPr>
    </w:p>
    <w:p w14:paraId="67BCA728">
      <w:pPr>
        <w:rPr>
          <w:rFonts w:hint="eastAsia" w:ascii="黑体" w:hAnsi="宋体" w:eastAsia="黑体"/>
          <w:bCs/>
          <w:color w:val="auto"/>
          <w:sz w:val="24"/>
          <w:szCs w:val="24"/>
          <w:highlight w:val="none"/>
        </w:rPr>
      </w:pPr>
    </w:p>
    <w:p w14:paraId="3F205953">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11980755">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604897DE">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68744CCE">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596C558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宜兴市环保集团有限公司宜兴市环科园喷涂“绿岛”项目深度调研服务</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 xml:space="preserve">项目编号：  </w:t>
      </w:r>
      <w:r>
        <w:rPr>
          <w:rFonts w:hint="eastAsia" w:ascii="宋体" w:hAnsi="宋体"/>
          <w:color w:val="auto"/>
          <w:sz w:val="24"/>
          <w:szCs w:val="21"/>
          <w:highlight w:val="none"/>
          <w:lang w:val="zh-CN"/>
        </w:rPr>
        <w:t xml:space="preserve">  ）的投标、参与开标、谈判、签约等具体工作，并签署全部有关的文件、协议及合同。</w:t>
      </w:r>
    </w:p>
    <w:p w14:paraId="718E642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741BFA1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56DFD427">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6A86FCC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1A07A80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7EF9C8B4">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1092312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2B63253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0F4676C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84EC2A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3CA19211">
      <w:pPr>
        <w:spacing w:line="360" w:lineRule="auto"/>
        <w:rPr>
          <w:rFonts w:hint="eastAsia" w:ascii="黑体" w:eastAsia="黑体"/>
          <w:bCs/>
          <w:color w:val="auto"/>
          <w:sz w:val="28"/>
          <w:szCs w:val="28"/>
          <w:highlight w:val="none"/>
        </w:rPr>
      </w:pPr>
    </w:p>
    <w:p w14:paraId="7562333C">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1"/>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6D11D2">
                            <w:pPr>
                              <w:jc w:val="left"/>
                              <w:rPr>
                                <w:rFonts w:hint="eastAsia" w:ascii="黑体" w:eastAsia="黑体"/>
                                <w:sz w:val="32"/>
                                <w:szCs w:val="32"/>
                              </w:rPr>
                            </w:pPr>
                          </w:p>
                          <w:p w14:paraId="71494A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4A20253">
                            <w:pPr>
                              <w:jc w:val="center"/>
                              <w:rPr>
                                <w:rFonts w:hint="eastAsia" w:ascii="楷体_GB2312" w:eastAsia="楷体_GB2312"/>
                                <w:sz w:val="28"/>
                                <w:szCs w:val="28"/>
                              </w:rPr>
                            </w:pPr>
                            <w:r>
                              <w:rPr>
                                <w:rFonts w:hint="eastAsia" w:ascii="楷体_GB2312" w:eastAsia="楷体_GB2312"/>
                                <w:sz w:val="28"/>
                                <w:szCs w:val="28"/>
                              </w:rPr>
                              <w:t>反面</w:t>
                            </w:r>
                          </w:p>
                          <w:p w14:paraId="47791777">
                            <w:pPr>
                              <w:jc w:val="center"/>
                              <w:rPr>
                                <w:rFonts w:hint="eastAsia" w:ascii="楷体_GB2312" w:eastAsia="楷体_GB2312"/>
                                <w:sz w:val="28"/>
                                <w:szCs w:val="28"/>
                              </w:rPr>
                            </w:pPr>
                          </w:p>
                        </w:txbxContent>
                      </wps:txbx>
                      <wps:bodyPr wrap="square" upright="1"/>
                    </wps:wsp>
                  </a:graphicData>
                </a:graphic>
              </wp:anchor>
            </w:drawing>
          </mc:Choice>
          <mc:Fallback>
            <w:pict>
              <v:shape id="文本框 11"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UxH3MxcCAABG&#10;BAAADgAAAAAAAAABACAAAAAoAQAAZHJzL2Uyb0RvYy54bWxQSwUGAAAAAAYABgBZAQAAsQUAAAAA&#10;">
                <v:fill on="t" focussize="0,0"/>
                <v:stroke color="#000000" joinstyle="miter"/>
                <v:imagedata o:title=""/>
                <o:lock v:ext="edit" aspectratio="f"/>
                <v:textbox>
                  <w:txbxContent>
                    <w:p w14:paraId="7F6D11D2">
                      <w:pPr>
                        <w:jc w:val="left"/>
                        <w:rPr>
                          <w:rFonts w:hint="eastAsia" w:ascii="黑体" w:eastAsia="黑体"/>
                          <w:sz w:val="32"/>
                          <w:szCs w:val="32"/>
                        </w:rPr>
                      </w:pPr>
                    </w:p>
                    <w:p w14:paraId="71494A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4A20253">
                      <w:pPr>
                        <w:jc w:val="center"/>
                        <w:rPr>
                          <w:rFonts w:hint="eastAsia" w:ascii="楷体_GB2312" w:eastAsia="楷体_GB2312"/>
                          <w:sz w:val="28"/>
                          <w:szCs w:val="28"/>
                        </w:rPr>
                      </w:pPr>
                      <w:r>
                        <w:rPr>
                          <w:rFonts w:hint="eastAsia" w:ascii="楷体_GB2312" w:eastAsia="楷体_GB2312"/>
                          <w:sz w:val="28"/>
                          <w:szCs w:val="28"/>
                        </w:rPr>
                        <w:t>反面</w:t>
                      </w:r>
                    </w:p>
                    <w:p w14:paraId="47791777">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832FCE">
                            <w:pPr>
                              <w:jc w:val="left"/>
                              <w:rPr>
                                <w:rFonts w:hint="eastAsia" w:ascii="黑体" w:eastAsia="黑体"/>
                                <w:sz w:val="32"/>
                                <w:szCs w:val="32"/>
                              </w:rPr>
                            </w:pPr>
                          </w:p>
                          <w:p w14:paraId="0985F5F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4AD4D23">
                            <w:pPr>
                              <w:jc w:val="center"/>
                              <w:rPr>
                                <w:rFonts w:hint="eastAsia" w:ascii="楷体_GB2312" w:eastAsia="楷体_GB2312"/>
                                <w:sz w:val="28"/>
                                <w:szCs w:val="28"/>
                              </w:rPr>
                            </w:pPr>
                            <w:r>
                              <w:rPr>
                                <w:rFonts w:hint="eastAsia" w:ascii="楷体_GB2312" w:eastAsia="楷体_GB2312"/>
                                <w:sz w:val="28"/>
                                <w:szCs w:val="28"/>
                              </w:rPr>
                              <w:t>正面</w:t>
                            </w:r>
                          </w:p>
                          <w:p w14:paraId="3AD75F21">
                            <w:pPr>
                              <w:jc w:val="center"/>
                              <w:rPr>
                                <w:rFonts w:hint="eastAsia" w:ascii="楷体_GB2312" w:eastAsia="楷体_GB2312"/>
                                <w:sz w:val="28"/>
                                <w:szCs w:val="28"/>
                              </w:rPr>
                            </w:pPr>
                          </w:p>
                        </w:txbxContent>
                      </wps:txbx>
                      <wps:bodyPr wrap="square" upright="1"/>
                    </wps:wsp>
                  </a:graphicData>
                </a:graphic>
              </wp:anchor>
            </w:drawing>
          </mc:Choice>
          <mc:Fallback>
            <w:pict>
              <v:shape id="文本框 12"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DQL8vAWAgAARgQA&#10;AA4AAAAAAAAAAQAgAAAAJwEAAGRycy9lMm9Eb2MueG1sUEsFBgAAAAAGAAYAWQEAAK8FAAAAAA==&#10;">
                <v:fill on="t" focussize="0,0"/>
                <v:stroke color="#000000" joinstyle="miter"/>
                <v:imagedata o:title=""/>
                <o:lock v:ext="edit" aspectratio="f"/>
                <v:textbox>
                  <w:txbxContent>
                    <w:p w14:paraId="0D832FCE">
                      <w:pPr>
                        <w:jc w:val="left"/>
                        <w:rPr>
                          <w:rFonts w:hint="eastAsia" w:ascii="黑体" w:eastAsia="黑体"/>
                          <w:sz w:val="32"/>
                          <w:szCs w:val="32"/>
                        </w:rPr>
                      </w:pPr>
                    </w:p>
                    <w:p w14:paraId="0985F5F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4AD4D23">
                      <w:pPr>
                        <w:jc w:val="center"/>
                        <w:rPr>
                          <w:rFonts w:hint="eastAsia" w:ascii="楷体_GB2312" w:eastAsia="楷体_GB2312"/>
                          <w:sz w:val="28"/>
                          <w:szCs w:val="28"/>
                        </w:rPr>
                      </w:pPr>
                      <w:r>
                        <w:rPr>
                          <w:rFonts w:hint="eastAsia" w:ascii="楷体_GB2312" w:eastAsia="楷体_GB2312"/>
                          <w:sz w:val="28"/>
                          <w:szCs w:val="28"/>
                        </w:rPr>
                        <w:t>正面</w:t>
                      </w:r>
                    </w:p>
                    <w:p w14:paraId="3AD75F21">
                      <w:pPr>
                        <w:jc w:val="center"/>
                        <w:rPr>
                          <w:rFonts w:hint="eastAsia" w:ascii="楷体_GB2312" w:eastAsia="楷体_GB2312"/>
                          <w:sz w:val="28"/>
                          <w:szCs w:val="28"/>
                        </w:rPr>
                      </w:pPr>
                    </w:p>
                  </w:txbxContent>
                </v:textbox>
              </v:shape>
            </w:pict>
          </mc:Fallback>
        </mc:AlternateContent>
      </w:r>
    </w:p>
    <w:p w14:paraId="27B6D6E9">
      <w:pPr>
        <w:spacing w:line="360" w:lineRule="auto"/>
        <w:rPr>
          <w:rFonts w:hint="eastAsia" w:ascii="黑体" w:eastAsia="黑体"/>
          <w:bCs/>
          <w:color w:val="auto"/>
          <w:sz w:val="28"/>
          <w:szCs w:val="28"/>
          <w:highlight w:val="none"/>
        </w:rPr>
      </w:pPr>
    </w:p>
    <w:p w14:paraId="1B32A3C8">
      <w:pPr>
        <w:spacing w:line="360" w:lineRule="auto"/>
        <w:jc w:val="center"/>
        <w:rPr>
          <w:rFonts w:hint="eastAsia" w:ascii="黑体" w:eastAsia="黑体"/>
          <w:bCs/>
          <w:color w:val="auto"/>
          <w:sz w:val="28"/>
          <w:szCs w:val="28"/>
          <w:highlight w:val="none"/>
        </w:rPr>
      </w:pPr>
    </w:p>
    <w:p w14:paraId="454FB094">
      <w:pPr>
        <w:spacing w:line="360" w:lineRule="auto"/>
        <w:jc w:val="center"/>
        <w:rPr>
          <w:rFonts w:hint="eastAsia" w:ascii="黑体" w:eastAsia="黑体"/>
          <w:bCs/>
          <w:color w:val="auto"/>
          <w:sz w:val="28"/>
          <w:szCs w:val="28"/>
          <w:highlight w:val="none"/>
        </w:rPr>
      </w:pPr>
    </w:p>
    <w:p w14:paraId="77703081">
      <w:pPr>
        <w:spacing w:line="360" w:lineRule="auto"/>
        <w:ind w:firstLine="480" w:firstLineChars="200"/>
        <w:rPr>
          <w:rFonts w:hint="eastAsia" w:ascii="黑体" w:hAnsi="宋体" w:eastAsia="黑体"/>
          <w:bCs/>
          <w:color w:val="auto"/>
          <w:sz w:val="24"/>
          <w:szCs w:val="24"/>
          <w:highlight w:val="none"/>
        </w:rPr>
      </w:pPr>
    </w:p>
    <w:p w14:paraId="72E40280">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14:paraId="40588902">
      <w:pPr>
        <w:rPr>
          <w:rFonts w:hint="eastAsia" w:ascii="黑体" w:hAnsi="黑体" w:eastAsia="黑体"/>
          <w:bCs/>
          <w:color w:val="auto"/>
          <w:sz w:val="28"/>
          <w:szCs w:val="24"/>
          <w:highlight w:val="none"/>
        </w:rPr>
      </w:pPr>
      <w:r>
        <w:rPr>
          <w:rFonts w:hint="eastAsia" w:ascii="黑体" w:hAnsi="黑体" w:eastAsia="黑体"/>
          <w:bCs/>
          <w:color w:val="auto"/>
          <w:sz w:val="28"/>
          <w:szCs w:val="24"/>
          <w:highlight w:val="none"/>
        </w:rPr>
        <w:br w:type="page"/>
      </w:r>
    </w:p>
    <w:p w14:paraId="16361F3B">
      <w:pPr>
        <w:spacing w:before="156" w:beforeLines="50" w:after="156" w:afterLines="50" w:line="480" w:lineRule="auto"/>
        <w:rPr>
          <w:rFonts w:hint="eastAsia" w:ascii="宋体" w:hAnsi="宋体"/>
          <w:bCs/>
          <w:color w:val="auto"/>
          <w:sz w:val="24"/>
          <w:szCs w:val="24"/>
          <w:highlight w:val="none"/>
        </w:rPr>
      </w:pPr>
      <w:r>
        <w:rPr>
          <w:rFonts w:hint="eastAsia" w:ascii="黑体" w:hAnsi="黑体" w:eastAsia="黑体"/>
          <w:bCs/>
          <w:color w:val="auto"/>
          <w:sz w:val="28"/>
          <w:szCs w:val="24"/>
          <w:highlight w:val="none"/>
        </w:rPr>
        <w:t>3、资格性证明材料</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p>
    <w:p w14:paraId="357B7895">
      <w:pPr>
        <w:spacing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14:paraId="13B120C6">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4D0A0F33">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4E00BBBF">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3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2CC6536A">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 xml:space="preserve">4 </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1"/>
          <w:highlight w:val="none"/>
          <w:lang w:val="en-US" w:eastAsia="zh-CN"/>
        </w:rPr>
        <w:t>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02C643E7">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 xml:space="preserve">5 </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7F9C6957">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 、投标人依法缴纳近十二个月中任意一个月份社会保障资金的相关材料（提供相关主管部门证明或银行代扣证明）复印件；</w:t>
      </w:r>
    </w:p>
    <w:p w14:paraId="4463E43C">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 、投标人为本项目被授权代表在近六个月内任意一个月缴纳的社保证明复印件（提供相关主管部门证明或银行代扣证明，法定代表人亲自参加报价的除外）；</w:t>
      </w:r>
    </w:p>
    <w:p w14:paraId="307E3C79">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eastAsia="宋体" w:cs="Times New Roman"/>
          <w:color w:val="auto"/>
          <w:sz w:val="24"/>
          <w:szCs w:val="24"/>
          <w:highlight w:val="none"/>
          <w:lang w:val="en-US" w:eastAsia="zh-CN"/>
        </w:rPr>
        <w:t>8、无不良信用记录：未被“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070B3DA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zh-CN" w:eastAsia="zh-CN"/>
        </w:rPr>
        <w:t>投标保证金交纳证明（银行转账）复印件；</w:t>
      </w:r>
    </w:p>
    <w:p w14:paraId="6AEA164A">
      <w:pPr>
        <w:tabs>
          <w:tab w:val="left" w:pos="0"/>
          <w:tab w:val="left" w:pos="255"/>
        </w:tabs>
        <w:spacing w:line="360" w:lineRule="auto"/>
        <w:ind w:firstLine="480" w:firstLineChars="200"/>
        <w:rPr>
          <w:rFonts w:hint="eastAsia" w:ascii="宋体" w:hAnsi="宋体"/>
          <w:bCs/>
          <w:color w:val="auto"/>
          <w:sz w:val="24"/>
          <w:highlight w:val="none"/>
        </w:rPr>
      </w:pPr>
    </w:p>
    <w:p w14:paraId="24A9E796">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7409DE0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252"/>
    <w:p w14:paraId="72158E21">
      <w:pPr>
        <w:tabs>
          <w:tab w:val="left" w:pos="255"/>
        </w:tabs>
        <w:spacing w:line="360" w:lineRule="auto"/>
        <w:rPr>
          <w:rFonts w:hint="eastAsia" w:ascii="黑体" w:hAnsi="宋体" w:eastAsia="黑体"/>
          <w:bCs/>
          <w:color w:val="auto"/>
          <w:sz w:val="24"/>
          <w:szCs w:val="24"/>
          <w:highlight w:val="none"/>
        </w:rPr>
      </w:pPr>
    </w:p>
    <w:p w14:paraId="2520029B">
      <w:pPr>
        <w:pStyle w:val="16"/>
        <w:ind w:left="1260"/>
        <w:rPr>
          <w:rFonts w:hint="eastAsia" w:ascii="黑体" w:hAnsi="宋体" w:eastAsia="黑体"/>
          <w:bCs/>
          <w:color w:val="auto"/>
          <w:sz w:val="24"/>
          <w:szCs w:val="24"/>
          <w:highlight w:val="none"/>
        </w:rPr>
      </w:pPr>
    </w:p>
    <w:p w14:paraId="46EBC59D">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（四）技术商务部分评分导读表（格式）</w:t>
      </w:r>
    </w:p>
    <w:p w14:paraId="3A1277BE">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72A8E5F9">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bCs/>
          <w:color w:val="auto"/>
          <w:sz w:val="24"/>
          <w:szCs w:val="24"/>
          <w:highlight w:val="none"/>
          <w:lang w:eastAsia="zh-CN"/>
        </w:rPr>
        <w:t>宜兴市环科园喷涂“绿岛”项目深度调研服务</w:t>
      </w:r>
      <w:r>
        <w:rPr>
          <w:rFonts w:hint="eastAsia" w:ascii="宋体" w:hAnsi="宋体"/>
          <w:color w:val="auto"/>
          <w:sz w:val="24"/>
          <w:szCs w:val="24"/>
          <w:highlight w:val="none"/>
        </w:rPr>
        <w:t xml:space="preserve">                                     </w:t>
      </w:r>
    </w:p>
    <w:p w14:paraId="5642A0EB">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 xml:space="preserve">项目编号：  </w:t>
      </w:r>
      <w:r>
        <w:rPr>
          <w:rFonts w:hint="eastAsia" w:ascii="宋体" w:hAnsi="宋体"/>
          <w:color w:val="auto"/>
          <w:sz w:val="24"/>
          <w:szCs w:val="21"/>
          <w:highlight w:val="none"/>
          <w:lang w:val="zh-CN"/>
        </w:rPr>
        <w:t xml:space="preserve"> </w:t>
      </w:r>
    </w:p>
    <w:tbl>
      <w:tblPr>
        <w:tblStyle w:val="3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72"/>
        <w:gridCol w:w="4689"/>
        <w:gridCol w:w="1306"/>
        <w:gridCol w:w="1306"/>
      </w:tblGrid>
      <w:tr w14:paraId="57B3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C0E85E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72" w:type="dxa"/>
            <w:tcBorders>
              <w:top w:val="single" w:color="auto" w:sz="4" w:space="0"/>
              <w:left w:val="single" w:color="auto" w:sz="4" w:space="0"/>
              <w:right w:val="single" w:color="auto" w:sz="4" w:space="0"/>
            </w:tcBorders>
            <w:noWrap w:val="0"/>
            <w:vAlign w:val="center"/>
          </w:tcPr>
          <w:p w14:paraId="58AE64A6">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4689" w:type="dxa"/>
            <w:tcBorders>
              <w:top w:val="single" w:color="auto" w:sz="4" w:space="0"/>
              <w:left w:val="single" w:color="auto" w:sz="4" w:space="0"/>
              <w:bottom w:val="single" w:color="auto" w:sz="4" w:space="0"/>
              <w:right w:val="single" w:color="auto" w:sz="4" w:space="0"/>
            </w:tcBorders>
            <w:noWrap w:val="0"/>
            <w:vAlign w:val="center"/>
          </w:tcPr>
          <w:p w14:paraId="5D8C7BC8">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57F46A8">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9FC7BD6">
            <w:pPr>
              <w:jc w:val="center"/>
              <w:rPr>
                <w:rFonts w:hint="eastAsia" w:ascii="宋体" w:hAnsi="宋体"/>
                <w:color w:val="auto"/>
                <w:sz w:val="24"/>
                <w:szCs w:val="24"/>
                <w:highlight w:val="none"/>
              </w:rPr>
            </w:pPr>
            <w:r>
              <w:rPr>
                <w:rFonts w:hint="eastAsia" w:ascii="宋体" w:hAnsi="宋体"/>
                <w:color w:val="auto"/>
                <w:sz w:val="24"/>
                <w:szCs w:val="24"/>
                <w:highlight w:val="none"/>
              </w:rPr>
              <w:t>自评分</w:t>
            </w:r>
          </w:p>
        </w:tc>
      </w:tr>
      <w:tr w14:paraId="08ED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6E07BC5">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72" w:type="dxa"/>
            <w:tcBorders>
              <w:top w:val="single" w:color="auto" w:sz="4" w:space="0"/>
              <w:left w:val="single" w:color="auto" w:sz="4" w:space="0"/>
              <w:right w:val="single" w:color="auto" w:sz="4" w:space="0"/>
            </w:tcBorders>
            <w:noWrap w:val="0"/>
            <w:vAlign w:val="center"/>
          </w:tcPr>
          <w:p w14:paraId="620B9528">
            <w:pPr>
              <w:jc w:val="center"/>
              <w:rPr>
                <w:rFonts w:hint="eastAsia" w:ascii="宋体" w:hAnsi="宋体"/>
                <w:color w:val="auto"/>
                <w:sz w:val="24"/>
                <w:szCs w:val="24"/>
                <w:highlight w:val="none"/>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14:paraId="0B2276EC">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5C30447">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8F21319">
            <w:pPr>
              <w:jc w:val="center"/>
              <w:rPr>
                <w:rFonts w:hint="eastAsia" w:ascii="宋体" w:hAnsi="宋体"/>
                <w:color w:val="auto"/>
                <w:sz w:val="24"/>
                <w:szCs w:val="24"/>
                <w:highlight w:val="none"/>
              </w:rPr>
            </w:pPr>
          </w:p>
        </w:tc>
      </w:tr>
      <w:tr w14:paraId="4C61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CB4B9A6">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72" w:type="dxa"/>
            <w:tcBorders>
              <w:top w:val="single" w:color="auto" w:sz="4" w:space="0"/>
              <w:left w:val="single" w:color="auto" w:sz="4" w:space="0"/>
              <w:right w:val="single" w:color="auto" w:sz="4" w:space="0"/>
            </w:tcBorders>
            <w:noWrap w:val="0"/>
            <w:vAlign w:val="center"/>
          </w:tcPr>
          <w:p w14:paraId="4CF1B137">
            <w:pPr>
              <w:jc w:val="center"/>
              <w:rPr>
                <w:rFonts w:hint="eastAsia" w:ascii="宋体" w:hAnsi="宋体"/>
                <w:color w:val="auto"/>
                <w:sz w:val="24"/>
                <w:szCs w:val="24"/>
                <w:highlight w:val="none"/>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14:paraId="496023DD">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F2D0070">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E39E099">
            <w:pPr>
              <w:jc w:val="center"/>
              <w:rPr>
                <w:rFonts w:hint="eastAsia" w:ascii="宋体" w:hAnsi="宋体"/>
                <w:color w:val="auto"/>
                <w:sz w:val="24"/>
                <w:szCs w:val="24"/>
                <w:highlight w:val="none"/>
              </w:rPr>
            </w:pPr>
          </w:p>
        </w:tc>
      </w:tr>
      <w:tr w14:paraId="554A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5D625F3">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172" w:type="dxa"/>
            <w:tcBorders>
              <w:top w:val="single" w:color="auto" w:sz="4" w:space="0"/>
              <w:left w:val="single" w:color="auto" w:sz="4" w:space="0"/>
              <w:right w:val="single" w:color="auto" w:sz="4" w:space="0"/>
            </w:tcBorders>
            <w:noWrap w:val="0"/>
            <w:vAlign w:val="center"/>
          </w:tcPr>
          <w:p w14:paraId="692506EF">
            <w:pPr>
              <w:jc w:val="center"/>
              <w:rPr>
                <w:rFonts w:hint="eastAsia" w:ascii="宋体" w:hAnsi="宋体"/>
                <w:color w:val="auto"/>
                <w:sz w:val="24"/>
                <w:szCs w:val="24"/>
                <w:highlight w:val="none"/>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14:paraId="066718BA">
            <w:pPr>
              <w:jc w:val="left"/>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3FB54E3">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04C166A">
            <w:pPr>
              <w:jc w:val="center"/>
              <w:rPr>
                <w:rFonts w:hint="eastAsia" w:ascii="宋体" w:hAnsi="宋体"/>
                <w:color w:val="auto"/>
                <w:sz w:val="24"/>
                <w:szCs w:val="24"/>
                <w:highlight w:val="none"/>
              </w:rPr>
            </w:pPr>
          </w:p>
        </w:tc>
      </w:tr>
    </w:tbl>
    <w:p w14:paraId="3674373F">
      <w:pPr>
        <w:spacing w:line="360" w:lineRule="auto"/>
        <w:ind w:left="5460" w:hanging="5460" w:hangingChars="2275"/>
        <w:jc w:val="center"/>
        <w:rPr>
          <w:rFonts w:hint="eastAsia" w:ascii="宋体" w:hAnsi="宋体"/>
          <w:bCs/>
          <w:color w:val="auto"/>
          <w:sz w:val="24"/>
          <w:highlight w:val="none"/>
          <w:lang w:val="zh-CN"/>
        </w:rPr>
      </w:pPr>
    </w:p>
    <w:p w14:paraId="439F6664">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BF5842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164A5FE">
      <w:pPr>
        <w:spacing w:line="580" w:lineRule="exact"/>
        <w:ind w:firstLine="480" w:firstLineChars="200"/>
        <w:rPr>
          <w:rFonts w:hint="eastAsia" w:ascii="宋体" w:hAnsi="宋体"/>
          <w:bCs/>
          <w:color w:val="auto"/>
          <w:sz w:val="24"/>
          <w:szCs w:val="24"/>
          <w:highlight w:val="none"/>
          <w:lang w:val="zh-CN"/>
        </w:rPr>
      </w:pPr>
    </w:p>
    <w:p w14:paraId="5552D143">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576ED960">
      <w:pPr>
        <w:spacing w:line="580" w:lineRule="exact"/>
        <w:rPr>
          <w:rFonts w:hint="eastAsia" w:ascii="黑体" w:hAnsi="宋体" w:eastAsia="黑体"/>
          <w:bCs/>
          <w:color w:val="auto"/>
          <w:sz w:val="24"/>
          <w:szCs w:val="24"/>
          <w:highlight w:val="none"/>
          <w:lang w:val="zh-CN"/>
        </w:rPr>
      </w:pPr>
    </w:p>
    <w:p w14:paraId="4730CDC7">
      <w:pPr>
        <w:spacing w:line="580" w:lineRule="exact"/>
        <w:rPr>
          <w:rFonts w:hint="eastAsia" w:ascii="黑体" w:hAnsi="宋体" w:eastAsia="黑体"/>
          <w:bCs/>
          <w:color w:val="auto"/>
          <w:sz w:val="24"/>
          <w:szCs w:val="24"/>
          <w:highlight w:val="none"/>
          <w:lang w:val="zh-CN"/>
        </w:rPr>
      </w:pPr>
    </w:p>
    <w:p w14:paraId="05798714">
      <w:pPr>
        <w:pStyle w:val="24"/>
        <w:ind w:left="900" w:hanging="480"/>
        <w:rPr>
          <w:rFonts w:hint="eastAsia" w:ascii="黑体" w:hAnsi="宋体" w:eastAsia="黑体"/>
          <w:bCs/>
          <w:color w:val="auto"/>
          <w:sz w:val="24"/>
          <w:szCs w:val="24"/>
          <w:highlight w:val="none"/>
          <w:lang w:val="zh-CN"/>
        </w:rPr>
      </w:pPr>
    </w:p>
    <w:p w14:paraId="16B20610">
      <w:pPr>
        <w:rPr>
          <w:rFonts w:hint="eastAsia" w:ascii="黑体" w:hAnsi="宋体" w:eastAsia="黑体"/>
          <w:bCs/>
          <w:color w:val="auto"/>
          <w:sz w:val="24"/>
          <w:szCs w:val="24"/>
          <w:highlight w:val="none"/>
          <w:lang w:val="zh-CN"/>
        </w:rPr>
      </w:pPr>
    </w:p>
    <w:p w14:paraId="5F380AA0">
      <w:pPr>
        <w:pStyle w:val="24"/>
        <w:ind w:left="900" w:hanging="480"/>
        <w:rPr>
          <w:rFonts w:hint="eastAsia" w:ascii="黑体" w:hAnsi="宋体" w:eastAsia="黑体"/>
          <w:bCs/>
          <w:color w:val="auto"/>
          <w:sz w:val="24"/>
          <w:szCs w:val="24"/>
          <w:highlight w:val="none"/>
          <w:lang w:val="zh-CN"/>
        </w:rPr>
      </w:pPr>
    </w:p>
    <w:p w14:paraId="698F9B7A">
      <w:pPr>
        <w:rPr>
          <w:rFonts w:hint="eastAsia" w:ascii="黑体" w:hAnsi="宋体" w:eastAsia="黑体"/>
          <w:bCs/>
          <w:color w:val="auto"/>
          <w:sz w:val="24"/>
          <w:szCs w:val="24"/>
          <w:highlight w:val="none"/>
          <w:lang w:val="zh-CN"/>
        </w:rPr>
      </w:pPr>
    </w:p>
    <w:p w14:paraId="6422243A">
      <w:pPr>
        <w:pStyle w:val="24"/>
        <w:ind w:left="900" w:hanging="480"/>
        <w:rPr>
          <w:rFonts w:hint="eastAsia" w:ascii="黑体" w:hAnsi="宋体" w:eastAsia="黑体"/>
          <w:bCs/>
          <w:color w:val="auto"/>
          <w:sz w:val="24"/>
          <w:szCs w:val="24"/>
          <w:highlight w:val="none"/>
          <w:lang w:val="zh-CN"/>
        </w:rPr>
      </w:pPr>
    </w:p>
    <w:p w14:paraId="1474275E">
      <w:pPr>
        <w:rPr>
          <w:rFonts w:hint="eastAsia" w:ascii="黑体" w:hAnsi="宋体" w:eastAsia="黑体"/>
          <w:bCs/>
          <w:color w:val="auto"/>
          <w:sz w:val="24"/>
          <w:szCs w:val="24"/>
          <w:highlight w:val="none"/>
          <w:lang w:val="zh-CN"/>
        </w:rPr>
      </w:pPr>
    </w:p>
    <w:p w14:paraId="043ABD64">
      <w:pPr>
        <w:pStyle w:val="24"/>
        <w:ind w:left="900" w:hanging="480"/>
        <w:rPr>
          <w:rFonts w:hint="eastAsia" w:ascii="黑体" w:hAnsi="宋体" w:eastAsia="黑体"/>
          <w:bCs/>
          <w:color w:val="auto"/>
          <w:sz w:val="24"/>
          <w:szCs w:val="24"/>
          <w:highlight w:val="none"/>
          <w:lang w:val="zh-CN"/>
        </w:rPr>
      </w:pPr>
    </w:p>
    <w:p w14:paraId="26C89096">
      <w:pPr>
        <w:rPr>
          <w:rFonts w:hint="eastAsia"/>
          <w:color w:val="auto"/>
          <w:highlight w:val="none"/>
          <w:lang w:val="zh-CN"/>
        </w:rPr>
      </w:pPr>
    </w:p>
    <w:p w14:paraId="46D5C812">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五</w:t>
      </w:r>
      <w:r>
        <w:rPr>
          <w:rFonts w:hint="eastAsia" w:ascii="黑体" w:hAnsi="宋体" w:eastAsia="黑体"/>
          <w:bCs/>
          <w:color w:val="auto"/>
          <w:sz w:val="24"/>
          <w:szCs w:val="24"/>
          <w:highlight w:val="none"/>
          <w:lang w:val="zh-CN"/>
        </w:rPr>
        <w:t>）招标文件第</w:t>
      </w:r>
      <w:r>
        <w:rPr>
          <w:rFonts w:hint="eastAsia" w:ascii="黑体" w:hAnsi="宋体" w:eastAsia="黑体"/>
          <w:bCs/>
          <w:color w:val="auto"/>
          <w:sz w:val="24"/>
          <w:szCs w:val="24"/>
          <w:highlight w:val="none"/>
        </w:rPr>
        <w:t>三</w:t>
      </w:r>
      <w:r>
        <w:rPr>
          <w:rFonts w:hint="eastAsia" w:ascii="黑体" w:hAnsi="宋体" w:eastAsia="黑体"/>
          <w:bCs/>
          <w:color w:val="auto"/>
          <w:sz w:val="24"/>
          <w:szCs w:val="24"/>
          <w:highlight w:val="none"/>
          <w:lang w:val="zh-CN"/>
        </w:rPr>
        <w:t>章“项目技术要求和有关说明”中要求提供的相关证明材料（如有自行添加）</w:t>
      </w:r>
    </w:p>
    <w:p w14:paraId="310FBFBF">
      <w:pPr>
        <w:rPr>
          <w:rFonts w:hint="eastAsia" w:ascii="黑体" w:hAnsi="宋体" w:eastAsia="黑体"/>
          <w:bCs/>
          <w:color w:val="auto"/>
          <w:sz w:val="24"/>
          <w:szCs w:val="24"/>
          <w:highlight w:val="none"/>
          <w:lang w:val="zh-CN"/>
        </w:rPr>
      </w:pPr>
    </w:p>
    <w:p w14:paraId="03A0ABBB">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六</w:t>
      </w:r>
      <w:r>
        <w:rPr>
          <w:rFonts w:hint="eastAsia" w:ascii="黑体" w:hAnsi="宋体" w:eastAsia="黑体"/>
          <w:bCs/>
          <w:color w:val="auto"/>
          <w:sz w:val="24"/>
          <w:szCs w:val="24"/>
          <w:highlight w:val="none"/>
          <w:lang w:val="zh-CN"/>
        </w:rPr>
        <w:t>）服务内容的详细说明及服务方案（格式自拟）：</w:t>
      </w:r>
    </w:p>
    <w:p w14:paraId="4B68BC92">
      <w:pPr>
        <w:spacing w:line="580" w:lineRule="exact"/>
        <w:rPr>
          <w:rFonts w:hint="eastAsia" w:ascii="黑体" w:hAnsi="宋体" w:eastAsia="黑体"/>
          <w:bCs/>
          <w:color w:val="auto"/>
          <w:sz w:val="24"/>
          <w:szCs w:val="24"/>
          <w:highlight w:val="none"/>
        </w:rPr>
      </w:pPr>
    </w:p>
    <w:p w14:paraId="2A79DA08">
      <w:pPr>
        <w:spacing w:line="580" w:lineRule="exact"/>
        <w:rPr>
          <w:rFonts w:hint="eastAsia" w:ascii="黑体" w:hAnsi="宋体" w:eastAsia="黑体"/>
          <w:bCs/>
          <w:color w:val="auto"/>
          <w:sz w:val="24"/>
          <w:szCs w:val="24"/>
          <w:highlight w:val="none"/>
        </w:rPr>
      </w:pPr>
    </w:p>
    <w:p w14:paraId="7CC32193">
      <w:pPr>
        <w:spacing w:line="580" w:lineRule="exact"/>
        <w:rPr>
          <w:rFonts w:hint="eastAsia" w:ascii="黑体" w:hAnsi="宋体" w:eastAsia="黑体"/>
          <w:bCs/>
          <w:color w:val="auto"/>
          <w:sz w:val="24"/>
          <w:szCs w:val="24"/>
          <w:highlight w:val="none"/>
        </w:rPr>
      </w:pPr>
    </w:p>
    <w:p w14:paraId="50115545">
      <w:pPr>
        <w:spacing w:line="580" w:lineRule="exact"/>
        <w:rPr>
          <w:rFonts w:hint="eastAsia" w:ascii="黑体" w:hAnsi="宋体" w:eastAsia="黑体"/>
          <w:bCs/>
          <w:color w:val="auto"/>
          <w:sz w:val="24"/>
          <w:szCs w:val="24"/>
          <w:highlight w:val="none"/>
        </w:rPr>
      </w:pPr>
    </w:p>
    <w:p w14:paraId="1C51791A">
      <w:pPr>
        <w:spacing w:line="580" w:lineRule="exact"/>
        <w:rPr>
          <w:rFonts w:hint="eastAsia" w:ascii="黑体" w:hAnsi="宋体" w:eastAsia="黑体"/>
          <w:bCs/>
          <w:color w:val="auto"/>
          <w:sz w:val="24"/>
          <w:szCs w:val="24"/>
          <w:highlight w:val="none"/>
        </w:rPr>
      </w:pPr>
    </w:p>
    <w:p w14:paraId="43AF5CB0">
      <w:pPr>
        <w:spacing w:line="580" w:lineRule="exact"/>
        <w:rPr>
          <w:rFonts w:hint="eastAsia" w:ascii="黑体" w:hAnsi="宋体" w:eastAsia="黑体"/>
          <w:bCs/>
          <w:color w:val="auto"/>
          <w:sz w:val="24"/>
          <w:szCs w:val="24"/>
          <w:highlight w:val="none"/>
        </w:rPr>
      </w:pPr>
    </w:p>
    <w:p w14:paraId="38E1668A">
      <w:pPr>
        <w:spacing w:line="580" w:lineRule="exact"/>
        <w:rPr>
          <w:rFonts w:hint="eastAsia" w:ascii="黑体" w:hAnsi="宋体" w:eastAsia="黑体"/>
          <w:bCs/>
          <w:color w:val="auto"/>
          <w:sz w:val="24"/>
          <w:szCs w:val="24"/>
          <w:highlight w:val="none"/>
        </w:rPr>
      </w:pPr>
    </w:p>
    <w:p w14:paraId="47E773CF">
      <w:pPr>
        <w:spacing w:line="580" w:lineRule="exact"/>
        <w:rPr>
          <w:rFonts w:hint="eastAsia" w:ascii="黑体" w:hAnsi="宋体" w:eastAsia="黑体"/>
          <w:bCs/>
          <w:color w:val="auto"/>
          <w:sz w:val="24"/>
          <w:szCs w:val="24"/>
          <w:highlight w:val="none"/>
        </w:rPr>
      </w:pPr>
    </w:p>
    <w:p w14:paraId="330DACD4">
      <w:pPr>
        <w:spacing w:line="580" w:lineRule="exact"/>
        <w:rPr>
          <w:rFonts w:hint="eastAsia" w:ascii="黑体" w:hAnsi="宋体" w:eastAsia="黑体"/>
          <w:bCs/>
          <w:color w:val="auto"/>
          <w:sz w:val="24"/>
          <w:szCs w:val="24"/>
          <w:highlight w:val="none"/>
        </w:rPr>
      </w:pPr>
    </w:p>
    <w:p w14:paraId="3D0D8DD7">
      <w:pPr>
        <w:spacing w:line="580" w:lineRule="exact"/>
        <w:rPr>
          <w:rFonts w:hint="eastAsia" w:ascii="黑体" w:hAnsi="宋体" w:eastAsia="黑体"/>
          <w:bCs/>
          <w:color w:val="auto"/>
          <w:sz w:val="24"/>
          <w:szCs w:val="24"/>
          <w:highlight w:val="none"/>
        </w:rPr>
      </w:pPr>
    </w:p>
    <w:p w14:paraId="02B77E7F">
      <w:pPr>
        <w:spacing w:line="580" w:lineRule="exact"/>
        <w:rPr>
          <w:rFonts w:hint="eastAsia" w:ascii="黑体" w:hAnsi="宋体" w:eastAsia="黑体"/>
          <w:bCs/>
          <w:color w:val="auto"/>
          <w:sz w:val="24"/>
          <w:szCs w:val="24"/>
          <w:highlight w:val="none"/>
        </w:rPr>
      </w:pPr>
    </w:p>
    <w:p w14:paraId="20D2637F">
      <w:pPr>
        <w:spacing w:line="580" w:lineRule="exact"/>
        <w:rPr>
          <w:rFonts w:hint="eastAsia" w:ascii="黑体" w:hAnsi="宋体" w:eastAsia="黑体"/>
          <w:bCs/>
          <w:color w:val="auto"/>
          <w:sz w:val="24"/>
          <w:szCs w:val="24"/>
          <w:highlight w:val="none"/>
        </w:rPr>
      </w:pPr>
    </w:p>
    <w:p w14:paraId="40D8C81A">
      <w:pPr>
        <w:spacing w:line="580" w:lineRule="exact"/>
        <w:rPr>
          <w:rFonts w:hint="eastAsia" w:ascii="黑体" w:hAnsi="宋体" w:eastAsia="黑体"/>
          <w:bCs/>
          <w:color w:val="auto"/>
          <w:sz w:val="24"/>
          <w:szCs w:val="24"/>
          <w:highlight w:val="none"/>
        </w:rPr>
      </w:pPr>
    </w:p>
    <w:p w14:paraId="358CFA12">
      <w:pPr>
        <w:spacing w:line="580" w:lineRule="exact"/>
        <w:rPr>
          <w:rFonts w:hint="eastAsia" w:ascii="黑体" w:hAnsi="宋体" w:eastAsia="黑体"/>
          <w:bCs/>
          <w:color w:val="auto"/>
          <w:sz w:val="24"/>
          <w:szCs w:val="24"/>
          <w:highlight w:val="none"/>
        </w:rPr>
      </w:pPr>
    </w:p>
    <w:p w14:paraId="2FF43659">
      <w:pPr>
        <w:spacing w:line="580" w:lineRule="exact"/>
        <w:rPr>
          <w:rFonts w:hint="eastAsia" w:ascii="黑体" w:hAnsi="宋体" w:eastAsia="黑体"/>
          <w:bCs/>
          <w:color w:val="auto"/>
          <w:sz w:val="24"/>
          <w:szCs w:val="24"/>
          <w:highlight w:val="none"/>
        </w:rPr>
      </w:pPr>
    </w:p>
    <w:p w14:paraId="3DB95E05">
      <w:pPr>
        <w:spacing w:line="580" w:lineRule="exact"/>
        <w:rPr>
          <w:rFonts w:hint="eastAsia" w:ascii="黑体" w:hAnsi="宋体" w:eastAsia="黑体"/>
          <w:bCs/>
          <w:color w:val="auto"/>
          <w:sz w:val="24"/>
          <w:szCs w:val="24"/>
          <w:highlight w:val="none"/>
        </w:rPr>
      </w:pPr>
    </w:p>
    <w:p w14:paraId="6DDF6CB1">
      <w:pPr>
        <w:spacing w:line="580" w:lineRule="exact"/>
        <w:rPr>
          <w:rFonts w:hint="eastAsia" w:ascii="黑体" w:hAnsi="宋体" w:eastAsia="黑体"/>
          <w:bCs/>
          <w:color w:val="auto"/>
          <w:sz w:val="24"/>
          <w:szCs w:val="24"/>
          <w:highlight w:val="none"/>
        </w:rPr>
      </w:pPr>
    </w:p>
    <w:p w14:paraId="5676EF12">
      <w:pPr>
        <w:spacing w:line="580" w:lineRule="exact"/>
        <w:rPr>
          <w:rFonts w:hint="eastAsia" w:ascii="黑体" w:hAnsi="宋体" w:eastAsia="黑体"/>
          <w:bCs/>
          <w:color w:val="auto"/>
          <w:sz w:val="24"/>
          <w:szCs w:val="24"/>
          <w:highlight w:val="none"/>
        </w:rPr>
      </w:pPr>
    </w:p>
    <w:p w14:paraId="4C3D9103">
      <w:pPr>
        <w:pStyle w:val="30"/>
        <w:rPr>
          <w:rFonts w:hint="eastAsia" w:ascii="黑体" w:hAnsi="宋体" w:eastAsia="黑体"/>
          <w:bCs/>
          <w:color w:val="auto"/>
          <w:sz w:val="24"/>
          <w:szCs w:val="24"/>
          <w:highlight w:val="none"/>
        </w:rPr>
      </w:pPr>
    </w:p>
    <w:p w14:paraId="18E57E38">
      <w:pPr>
        <w:pStyle w:val="30"/>
        <w:rPr>
          <w:rFonts w:hint="eastAsia" w:ascii="黑体" w:hAnsi="宋体" w:eastAsia="黑体"/>
          <w:bCs/>
          <w:color w:val="auto"/>
          <w:sz w:val="24"/>
          <w:szCs w:val="24"/>
          <w:highlight w:val="none"/>
        </w:rPr>
      </w:pPr>
    </w:p>
    <w:p w14:paraId="796AF869">
      <w:pPr>
        <w:spacing w:line="580" w:lineRule="exact"/>
        <w:rPr>
          <w:rFonts w:hint="eastAsia" w:ascii="黑体" w:hAnsi="宋体" w:eastAsia="黑体"/>
          <w:bCs/>
          <w:color w:val="auto"/>
          <w:sz w:val="24"/>
          <w:szCs w:val="24"/>
          <w:highlight w:val="none"/>
        </w:rPr>
      </w:pPr>
    </w:p>
    <w:p w14:paraId="7821EA67">
      <w:pPr>
        <w:spacing w:line="580" w:lineRule="exact"/>
        <w:rPr>
          <w:rFonts w:hint="eastAsia" w:ascii="黑体" w:hAnsi="宋体" w:eastAsia="黑体"/>
          <w:bCs/>
          <w:color w:val="auto"/>
          <w:sz w:val="24"/>
          <w:szCs w:val="24"/>
          <w:highlight w:val="none"/>
        </w:rPr>
      </w:pPr>
    </w:p>
    <w:p w14:paraId="2B2D6F03">
      <w:pPr>
        <w:spacing w:line="580" w:lineRule="exact"/>
        <w:rPr>
          <w:rFonts w:hint="eastAsia" w:ascii="黑体" w:hAnsi="宋体" w:eastAsia="黑体"/>
          <w:bCs/>
          <w:color w:val="auto"/>
          <w:sz w:val="24"/>
          <w:szCs w:val="24"/>
          <w:highlight w:val="none"/>
        </w:rPr>
      </w:pPr>
    </w:p>
    <w:p w14:paraId="2C0AEEEB">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（七）</w:t>
      </w:r>
      <w:r>
        <w:rPr>
          <w:rFonts w:hint="eastAsia" w:ascii="黑体" w:hAnsi="宋体" w:eastAsia="黑体"/>
          <w:bCs/>
          <w:color w:val="auto"/>
          <w:sz w:val="24"/>
          <w:szCs w:val="24"/>
          <w:highlight w:val="none"/>
          <w:lang w:val="zh-CN"/>
        </w:rPr>
        <w:t>项目人员配置清单（格式）</w:t>
      </w:r>
    </w:p>
    <w:p w14:paraId="2193DF4E">
      <w:pPr>
        <w:tabs>
          <w:tab w:val="left" w:pos="255"/>
        </w:tabs>
        <w:spacing w:line="360" w:lineRule="auto"/>
        <w:rPr>
          <w:rFonts w:hint="eastAsia" w:ascii="宋体" w:hAnsi="宋体"/>
          <w:bCs/>
          <w:color w:val="auto"/>
          <w:sz w:val="24"/>
          <w:szCs w:val="24"/>
          <w:highlight w:val="none"/>
          <w:lang w:val="zh-CN"/>
        </w:rPr>
      </w:pPr>
    </w:p>
    <w:p w14:paraId="4C9EFE48">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3BDA76F1">
      <w:pPr>
        <w:tabs>
          <w:tab w:val="left" w:pos="255"/>
        </w:tabs>
        <w:spacing w:line="360" w:lineRule="auto"/>
        <w:jc w:val="center"/>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74"/>
        <w:gridCol w:w="1232"/>
        <w:gridCol w:w="1177"/>
        <w:gridCol w:w="1326"/>
        <w:gridCol w:w="1177"/>
        <w:gridCol w:w="1031"/>
        <w:gridCol w:w="1043"/>
      </w:tblGrid>
      <w:tr w14:paraId="28B2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2C344A0">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65FD55A">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15CD59F">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7740F1B">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15BF0A2F">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02F69923">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386CFAD9">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0F55780C">
            <w:pPr>
              <w:jc w:val="center"/>
              <w:rPr>
                <w:bCs/>
                <w:color w:val="auto"/>
                <w:sz w:val="24"/>
                <w:highlight w:val="none"/>
              </w:rPr>
            </w:pPr>
            <w:r>
              <w:rPr>
                <w:rFonts w:hint="eastAsia"/>
                <w:bCs/>
                <w:color w:val="auto"/>
                <w:sz w:val="24"/>
                <w:highlight w:val="none"/>
              </w:rPr>
              <w:t>备注</w:t>
            </w:r>
          </w:p>
        </w:tc>
      </w:tr>
      <w:tr w14:paraId="048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663860C">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6349D9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51FEB21">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F5F5220">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610BE4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5612FD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B08AB2C">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07597E6">
            <w:pPr>
              <w:jc w:val="center"/>
              <w:rPr>
                <w:rFonts w:hint="eastAsia" w:ascii="宋体" w:hAnsi="宋体"/>
                <w:color w:val="auto"/>
                <w:sz w:val="24"/>
                <w:highlight w:val="none"/>
              </w:rPr>
            </w:pPr>
          </w:p>
        </w:tc>
      </w:tr>
      <w:tr w14:paraId="175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AF03E65">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030627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19D15A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03AAE2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61D796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11369A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DCF26F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A263D1F">
            <w:pPr>
              <w:jc w:val="center"/>
              <w:rPr>
                <w:rFonts w:hint="eastAsia" w:ascii="宋体" w:hAnsi="宋体"/>
                <w:color w:val="auto"/>
                <w:sz w:val="24"/>
                <w:highlight w:val="none"/>
              </w:rPr>
            </w:pPr>
          </w:p>
        </w:tc>
      </w:tr>
      <w:tr w14:paraId="1C15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F8CD878">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320CCA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1BED7B0">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3FC69DB">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0B1D7D43">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9038A5C">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D932D2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6F87ECC">
            <w:pPr>
              <w:jc w:val="center"/>
              <w:rPr>
                <w:rFonts w:hint="eastAsia" w:ascii="宋体" w:hAnsi="宋体"/>
                <w:color w:val="auto"/>
                <w:sz w:val="24"/>
                <w:highlight w:val="none"/>
              </w:rPr>
            </w:pPr>
          </w:p>
        </w:tc>
      </w:tr>
      <w:tr w14:paraId="392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C42251C">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8CA1B7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F4990D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8FF8BFC">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D77A2D9">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3A2B60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6373B6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113B34B8">
            <w:pPr>
              <w:jc w:val="center"/>
              <w:rPr>
                <w:rFonts w:hint="eastAsia" w:ascii="宋体" w:hAnsi="宋体"/>
                <w:color w:val="auto"/>
                <w:sz w:val="24"/>
                <w:highlight w:val="none"/>
              </w:rPr>
            </w:pPr>
          </w:p>
        </w:tc>
      </w:tr>
      <w:tr w14:paraId="1D00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4BA0C04">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DE9F398">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5C22D4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D85E5AD">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F1373A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3FF6E5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EC8FE72">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C9D2250">
            <w:pPr>
              <w:jc w:val="center"/>
              <w:rPr>
                <w:rFonts w:hint="eastAsia" w:ascii="宋体" w:hAnsi="宋体"/>
                <w:color w:val="auto"/>
                <w:sz w:val="24"/>
                <w:highlight w:val="none"/>
              </w:rPr>
            </w:pPr>
          </w:p>
        </w:tc>
      </w:tr>
      <w:tr w14:paraId="52F6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A39CD65">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EB6A40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1CE9859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CF9C058">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5704C4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DF83504">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01F64F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4CB57AC4">
            <w:pPr>
              <w:jc w:val="center"/>
              <w:rPr>
                <w:rFonts w:hint="eastAsia" w:ascii="宋体" w:hAnsi="宋体"/>
                <w:color w:val="auto"/>
                <w:sz w:val="24"/>
                <w:highlight w:val="none"/>
              </w:rPr>
            </w:pPr>
          </w:p>
        </w:tc>
      </w:tr>
      <w:tr w14:paraId="3E41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0A39539">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C83A657">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38FEA91">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3685E02">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964406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EEC3E3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815E3DD">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AE2C3A8">
            <w:pPr>
              <w:jc w:val="center"/>
              <w:rPr>
                <w:rFonts w:hint="eastAsia" w:ascii="宋体" w:hAnsi="宋体"/>
                <w:color w:val="auto"/>
                <w:sz w:val="24"/>
                <w:highlight w:val="none"/>
              </w:rPr>
            </w:pPr>
          </w:p>
        </w:tc>
      </w:tr>
      <w:tr w14:paraId="4070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2DC23AC">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36CE29C">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5B59DE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F245E59">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DD0E58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F5DA685">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EE9FAD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744A5DE3">
            <w:pPr>
              <w:jc w:val="center"/>
              <w:rPr>
                <w:rFonts w:hint="eastAsia" w:ascii="宋体" w:hAnsi="宋体"/>
                <w:color w:val="auto"/>
                <w:sz w:val="24"/>
                <w:highlight w:val="none"/>
              </w:rPr>
            </w:pPr>
          </w:p>
        </w:tc>
      </w:tr>
      <w:tr w14:paraId="2D8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657DA89">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AB5440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FFCA99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0829E6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7562479">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D4413B9">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DF7342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7C046A0">
            <w:pPr>
              <w:jc w:val="center"/>
              <w:rPr>
                <w:rFonts w:hint="eastAsia" w:ascii="宋体" w:hAnsi="宋体"/>
                <w:color w:val="auto"/>
                <w:sz w:val="24"/>
                <w:highlight w:val="none"/>
              </w:rPr>
            </w:pPr>
          </w:p>
        </w:tc>
      </w:tr>
      <w:tr w14:paraId="2935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BBFDBDC">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A04A999">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660A41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2BAFFB7">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4254995">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8D46B00">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BBD41CE">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6171EB4">
            <w:pPr>
              <w:jc w:val="center"/>
              <w:rPr>
                <w:rFonts w:hint="eastAsia" w:ascii="宋体" w:hAnsi="宋体"/>
                <w:color w:val="auto"/>
                <w:sz w:val="24"/>
                <w:highlight w:val="none"/>
              </w:rPr>
            </w:pPr>
          </w:p>
        </w:tc>
      </w:tr>
      <w:tr w14:paraId="3D1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5BF0406">
            <w:pPr>
              <w:jc w:val="center"/>
              <w:rPr>
                <w:rFonts w:hint="eastAsia"/>
                <w:color w:val="auto"/>
                <w:sz w:val="24"/>
                <w:highlight w:val="none"/>
              </w:rPr>
            </w:pP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3036F1C">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76CB149">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477F782">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0E384F3">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BC9B5BF">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432A17E">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94001CE">
            <w:pPr>
              <w:jc w:val="center"/>
              <w:rPr>
                <w:rFonts w:hint="eastAsia"/>
                <w:color w:val="auto"/>
                <w:sz w:val="24"/>
                <w:highlight w:val="none"/>
              </w:rPr>
            </w:pPr>
          </w:p>
        </w:tc>
      </w:tr>
    </w:tbl>
    <w:p w14:paraId="2D15BB0D">
      <w:pPr>
        <w:tabs>
          <w:tab w:val="left" w:pos="255"/>
        </w:tabs>
        <w:spacing w:line="360" w:lineRule="auto"/>
        <w:ind w:left="840" w:leftChars="400"/>
        <w:rPr>
          <w:rFonts w:hint="eastAsia" w:ascii="宋体" w:hAnsi="宋体"/>
          <w:bCs/>
          <w:color w:val="auto"/>
          <w:sz w:val="24"/>
          <w:szCs w:val="24"/>
          <w:highlight w:val="none"/>
          <w:lang w:val="zh-CN"/>
        </w:rPr>
      </w:pPr>
    </w:p>
    <w:p w14:paraId="29F69D23">
      <w:pPr>
        <w:rPr>
          <w:rFonts w:hint="eastAsia"/>
          <w:color w:val="auto"/>
          <w:highlight w:val="none"/>
        </w:rPr>
      </w:pPr>
      <w:r>
        <w:rPr>
          <w:rFonts w:hint="eastAsia" w:ascii="宋体" w:hAnsi="宋体"/>
          <w:color w:val="auto"/>
          <w:highlight w:val="none"/>
        </w:rPr>
        <w:t>注：1. 表格不够可自行延长。</w:t>
      </w:r>
    </w:p>
    <w:p w14:paraId="237238B4">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2.上表内容须按招标文件要求提供经社保部门确认的社保缴纳名单复印件（标注各人员所处位置）和相关证书复印件作为填列证明材料，材料请附在本表之后。</w:t>
      </w:r>
    </w:p>
    <w:p w14:paraId="5602BE15">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人员如在项目执行过程中需要更换，须经采购人同意。擅自更换或不到位属违约行为。</w:t>
      </w:r>
    </w:p>
    <w:p w14:paraId="3CC13A95">
      <w:pPr>
        <w:tabs>
          <w:tab w:val="left" w:pos="255"/>
        </w:tabs>
        <w:spacing w:line="360" w:lineRule="auto"/>
        <w:ind w:left="840" w:leftChars="400"/>
        <w:rPr>
          <w:rFonts w:hint="eastAsia" w:ascii="宋体" w:hAnsi="宋体"/>
          <w:bCs/>
          <w:color w:val="auto"/>
          <w:sz w:val="24"/>
          <w:szCs w:val="24"/>
          <w:highlight w:val="none"/>
          <w:lang w:val="zh-CN"/>
        </w:rPr>
      </w:pPr>
    </w:p>
    <w:p w14:paraId="1E2F5493">
      <w:pPr>
        <w:tabs>
          <w:tab w:val="left" w:pos="255"/>
        </w:tabs>
        <w:spacing w:line="360" w:lineRule="auto"/>
        <w:ind w:left="840" w:leftChars="400"/>
        <w:rPr>
          <w:rFonts w:hint="eastAsia" w:ascii="宋体" w:hAnsi="宋体"/>
          <w:bCs/>
          <w:color w:val="auto"/>
          <w:sz w:val="24"/>
          <w:szCs w:val="24"/>
          <w:highlight w:val="none"/>
          <w:lang w:val="zh-CN"/>
        </w:rPr>
      </w:pPr>
    </w:p>
    <w:p w14:paraId="51BA2EC1">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6C5EBE31">
      <w:pPr>
        <w:tabs>
          <w:tab w:val="left" w:pos="255"/>
        </w:tabs>
        <w:spacing w:line="360" w:lineRule="auto"/>
        <w:jc w:val="left"/>
        <w:rPr>
          <w:rFonts w:hint="eastAsia" w:ascii="黑体" w:hAnsi="宋体" w:eastAsia="黑体"/>
          <w:bCs/>
          <w:color w:val="auto"/>
          <w:sz w:val="24"/>
          <w:szCs w:val="24"/>
          <w:highlight w:val="none"/>
        </w:rPr>
      </w:pPr>
    </w:p>
    <w:p w14:paraId="60CD97B6">
      <w:pPr>
        <w:tabs>
          <w:tab w:val="left" w:pos="255"/>
        </w:tabs>
        <w:spacing w:line="360" w:lineRule="auto"/>
        <w:jc w:val="left"/>
        <w:rPr>
          <w:rFonts w:hint="eastAsia" w:ascii="黑体" w:hAnsi="宋体" w:eastAsia="黑体"/>
          <w:bCs/>
          <w:color w:val="auto"/>
          <w:sz w:val="24"/>
          <w:szCs w:val="24"/>
          <w:highlight w:val="none"/>
        </w:rPr>
      </w:pPr>
    </w:p>
    <w:p w14:paraId="3487CB39">
      <w:pPr>
        <w:tabs>
          <w:tab w:val="left" w:pos="255"/>
        </w:tabs>
        <w:spacing w:line="360" w:lineRule="auto"/>
        <w:jc w:val="left"/>
        <w:rPr>
          <w:rFonts w:hint="eastAsia" w:ascii="黑体" w:hAnsi="宋体" w:eastAsia="黑体"/>
          <w:bCs/>
          <w:color w:val="auto"/>
          <w:sz w:val="24"/>
          <w:szCs w:val="24"/>
          <w:highlight w:val="none"/>
        </w:rPr>
      </w:pPr>
    </w:p>
    <w:p w14:paraId="15917839">
      <w:pPr>
        <w:tabs>
          <w:tab w:val="left" w:pos="255"/>
        </w:tabs>
        <w:spacing w:line="360" w:lineRule="auto"/>
        <w:jc w:val="left"/>
        <w:rPr>
          <w:rFonts w:hint="eastAsia" w:ascii="黑体" w:hAnsi="宋体" w:eastAsia="黑体"/>
          <w:bCs/>
          <w:color w:val="auto"/>
          <w:sz w:val="24"/>
          <w:szCs w:val="24"/>
          <w:highlight w:val="none"/>
        </w:rPr>
      </w:pPr>
    </w:p>
    <w:p w14:paraId="6AAB2619">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（八）要求采购人提供的配合（如有自拟并自行添加）</w:t>
      </w:r>
    </w:p>
    <w:p w14:paraId="6BF3F236">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1BA86040">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（九）其他（投标人认为有必要提供的声明和文件，如有自拟并自行添加）</w:t>
      </w:r>
    </w:p>
    <w:p w14:paraId="5D0872E1">
      <w:pPr>
        <w:rPr>
          <w:rFonts w:hint="eastAsia" w:ascii="黑体" w:hAnsi="宋体" w:eastAsia="黑体"/>
          <w:color w:val="auto"/>
          <w:sz w:val="32"/>
          <w:szCs w:val="32"/>
          <w:highlight w:val="none"/>
        </w:rPr>
      </w:pPr>
    </w:p>
    <w:p w14:paraId="44C15B3C">
      <w:pPr>
        <w:rPr>
          <w:rFonts w:hint="eastAsia" w:ascii="黑体" w:hAnsi="宋体" w:eastAsia="黑体"/>
          <w:color w:val="auto"/>
          <w:sz w:val="32"/>
          <w:szCs w:val="32"/>
          <w:highlight w:val="none"/>
        </w:rPr>
      </w:pPr>
    </w:p>
    <w:p w14:paraId="1E0449D0">
      <w:pPr>
        <w:rPr>
          <w:rFonts w:hint="eastAsia" w:ascii="黑体" w:hAnsi="宋体" w:eastAsia="黑体"/>
          <w:color w:val="auto"/>
          <w:sz w:val="32"/>
          <w:szCs w:val="32"/>
          <w:highlight w:val="none"/>
        </w:rPr>
      </w:pPr>
    </w:p>
    <w:p w14:paraId="4A80371B">
      <w:pPr>
        <w:rPr>
          <w:rFonts w:hint="eastAsia" w:ascii="黑体" w:hAnsi="宋体" w:eastAsia="黑体"/>
          <w:color w:val="auto"/>
          <w:sz w:val="32"/>
          <w:szCs w:val="32"/>
          <w:highlight w:val="none"/>
        </w:rPr>
      </w:pPr>
    </w:p>
    <w:p w14:paraId="41C310D9">
      <w:pPr>
        <w:rPr>
          <w:rFonts w:hint="eastAsia" w:ascii="黑体" w:hAnsi="宋体" w:eastAsia="黑体"/>
          <w:color w:val="auto"/>
          <w:sz w:val="32"/>
          <w:szCs w:val="32"/>
          <w:highlight w:val="none"/>
        </w:rPr>
      </w:pPr>
    </w:p>
    <w:p w14:paraId="32A6F983">
      <w:pPr>
        <w:rPr>
          <w:rFonts w:hint="eastAsia" w:ascii="黑体" w:hAnsi="宋体" w:eastAsia="黑体"/>
          <w:color w:val="auto"/>
          <w:sz w:val="32"/>
          <w:szCs w:val="32"/>
          <w:highlight w:val="none"/>
        </w:rPr>
      </w:pPr>
    </w:p>
    <w:p w14:paraId="450713D1">
      <w:pPr>
        <w:rPr>
          <w:rFonts w:hint="eastAsia" w:ascii="黑体" w:hAnsi="宋体" w:eastAsia="黑体"/>
          <w:color w:val="auto"/>
          <w:sz w:val="32"/>
          <w:szCs w:val="32"/>
          <w:highlight w:val="none"/>
        </w:rPr>
      </w:pPr>
    </w:p>
    <w:p w14:paraId="00EAF702">
      <w:pPr>
        <w:rPr>
          <w:rFonts w:hint="eastAsia" w:ascii="黑体" w:hAnsi="宋体" w:eastAsia="黑体"/>
          <w:color w:val="auto"/>
          <w:sz w:val="32"/>
          <w:szCs w:val="32"/>
          <w:highlight w:val="none"/>
        </w:rPr>
      </w:pPr>
    </w:p>
    <w:p w14:paraId="1DD36BCD">
      <w:pPr>
        <w:rPr>
          <w:rFonts w:hint="eastAsia" w:ascii="黑体" w:hAnsi="宋体" w:eastAsia="黑体"/>
          <w:color w:val="auto"/>
          <w:sz w:val="32"/>
          <w:szCs w:val="32"/>
          <w:highlight w:val="none"/>
        </w:rPr>
      </w:pPr>
    </w:p>
    <w:p w14:paraId="1BB0A684">
      <w:pPr>
        <w:rPr>
          <w:rFonts w:hint="eastAsia" w:ascii="黑体" w:hAnsi="宋体" w:eastAsia="黑体"/>
          <w:color w:val="auto"/>
          <w:sz w:val="32"/>
          <w:szCs w:val="32"/>
          <w:highlight w:val="none"/>
        </w:rPr>
      </w:pPr>
    </w:p>
    <w:p w14:paraId="656CA073">
      <w:pPr>
        <w:rPr>
          <w:rFonts w:hint="eastAsia" w:ascii="黑体" w:hAnsi="宋体" w:eastAsia="黑体"/>
          <w:color w:val="auto"/>
          <w:sz w:val="32"/>
          <w:szCs w:val="32"/>
          <w:highlight w:val="none"/>
        </w:rPr>
      </w:pPr>
    </w:p>
    <w:p w14:paraId="5B21648C">
      <w:pPr>
        <w:rPr>
          <w:rFonts w:hint="eastAsia" w:ascii="黑体" w:hAnsi="宋体" w:eastAsia="黑体"/>
          <w:color w:val="auto"/>
          <w:sz w:val="32"/>
          <w:szCs w:val="32"/>
          <w:highlight w:val="none"/>
        </w:rPr>
      </w:pPr>
    </w:p>
    <w:p w14:paraId="0A8CED0A">
      <w:pPr>
        <w:rPr>
          <w:rFonts w:hint="eastAsia" w:ascii="黑体" w:hAnsi="宋体" w:eastAsia="黑体"/>
          <w:color w:val="auto"/>
          <w:sz w:val="32"/>
          <w:szCs w:val="32"/>
          <w:highlight w:val="none"/>
        </w:rPr>
      </w:pPr>
    </w:p>
    <w:p w14:paraId="73787335">
      <w:pPr>
        <w:rPr>
          <w:rFonts w:hint="eastAsia" w:ascii="黑体" w:hAnsi="宋体" w:eastAsia="黑体"/>
          <w:color w:val="auto"/>
          <w:sz w:val="32"/>
          <w:szCs w:val="32"/>
          <w:highlight w:val="none"/>
        </w:rPr>
      </w:pPr>
    </w:p>
    <w:p w14:paraId="5FC4CCEA">
      <w:pPr>
        <w:rPr>
          <w:rFonts w:hint="eastAsia" w:ascii="黑体" w:hAnsi="宋体" w:eastAsia="黑体"/>
          <w:color w:val="auto"/>
          <w:sz w:val="32"/>
          <w:szCs w:val="32"/>
          <w:highlight w:val="none"/>
        </w:rPr>
      </w:pPr>
    </w:p>
    <w:p w14:paraId="01512384">
      <w:pPr>
        <w:rPr>
          <w:rFonts w:hint="eastAsia" w:ascii="黑体" w:hAnsi="宋体" w:eastAsia="黑体"/>
          <w:color w:val="auto"/>
          <w:sz w:val="32"/>
          <w:szCs w:val="32"/>
          <w:highlight w:val="none"/>
        </w:rPr>
      </w:pPr>
    </w:p>
    <w:p w14:paraId="5EB25011">
      <w:pPr>
        <w:rPr>
          <w:rFonts w:hint="eastAsia" w:ascii="黑体" w:hAnsi="宋体" w:eastAsia="黑体"/>
          <w:color w:val="auto"/>
          <w:sz w:val="32"/>
          <w:szCs w:val="32"/>
          <w:highlight w:val="none"/>
        </w:rPr>
      </w:pPr>
    </w:p>
    <w:p w14:paraId="0E3EAC2D">
      <w:pPr>
        <w:rPr>
          <w:rFonts w:hint="eastAsia" w:ascii="黑体" w:hAnsi="宋体" w:eastAsia="黑体"/>
          <w:color w:val="auto"/>
          <w:sz w:val="32"/>
          <w:szCs w:val="32"/>
          <w:highlight w:val="none"/>
        </w:rPr>
      </w:pPr>
    </w:p>
    <w:p w14:paraId="0B5957A9">
      <w:pPr>
        <w:rPr>
          <w:rFonts w:hint="eastAsia" w:ascii="黑体" w:hAnsi="宋体" w:eastAsia="黑体"/>
          <w:color w:val="auto"/>
          <w:sz w:val="32"/>
          <w:szCs w:val="32"/>
          <w:highlight w:val="none"/>
        </w:rPr>
      </w:pPr>
    </w:p>
    <w:p w14:paraId="5E7A64A9">
      <w:pPr>
        <w:rPr>
          <w:rFonts w:hint="eastAsia" w:ascii="黑体" w:hAnsi="宋体" w:eastAsia="黑体"/>
          <w:color w:val="auto"/>
          <w:sz w:val="32"/>
          <w:szCs w:val="32"/>
          <w:highlight w:val="none"/>
        </w:rPr>
      </w:pPr>
    </w:p>
    <w:p w14:paraId="5E69DA13">
      <w:pPr>
        <w:rPr>
          <w:rFonts w:hint="eastAsia" w:ascii="黑体" w:hAnsi="宋体" w:eastAsia="黑体"/>
          <w:color w:val="auto"/>
          <w:sz w:val="32"/>
          <w:szCs w:val="32"/>
          <w:highlight w:val="none"/>
        </w:rPr>
      </w:pPr>
    </w:p>
    <w:p w14:paraId="390D20D6">
      <w:pPr>
        <w:pStyle w:val="2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黑体" w:hAnsi="宋体" w:eastAsia="黑体" w:cs="黑体"/>
          <w:b/>
          <w:bCs/>
          <w:color w:val="000000"/>
          <w:sz w:val="44"/>
          <w:szCs w:val="44"/>
          <w:lang w:eastAsia="zh-CN"/>
        </w:rPr>
        <w:t>宜兴市环保集团有限公司宜兴市环科园喷涂“绿岛”项目深度调研服务</w:t>
      </w:r>
      <w:r>
        <w:rPr>
          <w:rFonts w:ascii="黑体" w:hAnsi="宋体" w:eastAsia="黑体" w:cs="黑体"/>
          <w:b/>
          <w:bCs/>
          <w:color w:val="000000"/>
          <w:sz w:val="44"/>
          <w:szCs w:val="44"/>
        </w:rPr>
        <w:t>招标公告</w:t>
      </w:r>
    </w:p>
    <w:p w14:paraId="66A347F4">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14:paraId="3D9210B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宜兴市环保集团有限公司宜兴市环科园喷涂“绿岛”项目深度调研服务</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14:paraId="0DF5696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0EE4F8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YXGYJT202412029</w:t>
      </w:r>
    </w:p>
    <w:p w14:paraId="1D2DBF2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宜兴市环科园喷涂“绿岛”项目深度调研服务</w:t>
      </w:r>
    </w:p>
    <w:p w14:paraId="41C1309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61E34E3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本项目预算价及最高限价为：28</w:t>
      </w:r>
      <w:r>
        <w:rPr>
          <w:rFonts w:hint="eastAsia" w:ascii="仿宋" w:hAnsi="仿宋" w:eastAsia="仿宋" w:cs="仿宋"/>
          <w:color w:val="000000"/>
          <w:sz w:val="32"/>
          <w:szCs w:val="32"/>
        </w:rPr>
        <w:t>万元</w:t>
      </w:r>
    </w:p>
    <w:p w14:paraId="283CDE9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008F17C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302A55B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①具有独立承担民事责任的能力，具有独立法人资格；</w:t>
      </w:r>
    </w:p>
    <w:p w14:paraId="2E8016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②有依法缴纳税收和社会保障资金的良好记录；</w:t>
      </w:r>
    </w:p>
    <w:p w14:paraId="568B598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③具有履行合同所必需的设备和专业技术能力；</w:t>
      </w:r>
    </w:p>
    <w:p w14:paraId="3325A17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eastAsia="zh-CN"/>
        </w:rPr>
      </w:pPr>
      <w:r>
        <w:rPr>
          <w:rFonts w:hint="eastAsia" w:ascii="仿宋" w:hAnsi="仿宋" w:eastAsia="仿宋" w:cs="仿宋"/>
          <w:color w:val="000000"/>
          <w:sz w:val="32"/>
          <w:szCs w:val="32"/>
          <w:lang w:val="zh-CN" w:eastAsia="zh-CN"/>
        </w:rPr>
        <w:t>④具有良好的商业信誉和健全的财务会计制度；</w:t>
      </w:r>
    </w:p>
    <w:p w14:paraId="3E63BB9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⑤不接受联合体，不接受中标后分包；</w:t>
      </w:r>
    </w:p>
    <w:p w14:paraId="4B360F7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lang w:val="zh-CN"/>
        </w:rPr>
        <w:t>⑥良好的信用记录：投标截止时间之前，未被“信用中国”网站列入失信执行人、税收违法黑名单、政府采购严重违法失信行为记录名单，未被“中国政府采购网”网站列入政府采购严重违法失信行为记录名单；</w:t>
      </w:r>
    </w:p>
    <w:p w14:paraId="23B28ED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14:paraId="7FE6959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1、提交投标文件截止及开标时间：2025年1月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日14:00</w:t>
      </w:r>
    </w:p>
    <w:p w14:paraId="1836220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2、确定采购结果时间：评审结束后</w:t>
      </w:r>
    </w:p>
    <w:p w14:paraId="068B621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3、地点：宜兴市公用环保集团有限公司二楼开标室</w:t>
      </w:r>
    </w:p>
    <w:p w14:paraId="3922D5E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4、其他有关事项：截止期后的投标文件或未按招标文件规定密封的投标文件，恕不接受</w:t>
      </w:r>
    </w:p>
    <w:p w14:paraId="7882597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四、公告期限：</w:t>
      </w:r>
      <w:r>
        <w:rPr>
          <w:rFonts w:hint="eastAsia" w:ascii="仿宋" w:hAnsi="仿宋" w:eastAsia="仿宋" w:cs="仿宋"/>
          <w:color w:val="000000"/>
          <w:sz w:val="32"/>
          <w:szCs w:val="32"/>
        </w:rPr>
        <w:t>2025年1月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日到2025年1月</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日</w:t>
      </w:r>
    </w:p>
    <w:p w14:paraId="328D92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7337A2B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采购人：宜兴市环保集团有限公司</w:t>
            </w:r>
          </w:p>
          <w:p w14:paraId="6C439593">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联系人：韩先生</w:t>
            </w:r>
          </w:p>
          <w:p w14:paraId="3CDDB01F">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联系电话：0510-80710575</w:t>
            </w:r>
          </w:p>
          <w:p w14:paraId="3F103E79">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联系地址：宜兴市环科园绿园路528号科技孵化园</w:t>
            </w:r>
          </w:p>
          <w:p w14:paraId="4CDEB6CC">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61C8AB9A">
            <w:pPr>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联系人：袁先生，13306154212</w:t>
            </w:r>
          </w:p>
          <w:p w14:paraId="62A6C4B4">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4A4C3ED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4660198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5915990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宜兴市环保集团有限公司</w:t>
      </w:r>
    </w:p>
    <w:p w14:paraId="21B33B1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2025年1月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w:t>
      </w:r>
    </w:p>
    <w:p w14:paraId="0D08AEB5">
      <w:pPr>
        <w:rPr>
          <w:rFonts w:hint="eastAsia" w:ascii="黑体" w:hAnsi="宋体" w:eastAsia="黑体"/>
          <w:color w:val="auto"/>
          <w:sz w:val="32"/>
          <w:szCs w:val="32"/>
          <w:highlight w:val="none"/>
        </w:rPr>
      </w:pPr>
    </w:p>
    <w:sectPr>
      <w:headerReference r:id="rId7" w:type="default"/>
      <w:footerReference r:id="rId8"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E217">
    <w:pPr>
      <w:pStyle w:val="20"/>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508D4">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KW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q&#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0ClnLAQAAnAMAAA4AAAAAAAAAAQAgAAAAHgEAAGRycy9lMm9E&#10;b2MueG1sUEsFBgAAAAAGAAYAWQEAAFsFAAAAAA==&#10;">
              <v:fill on="f" focussize="0,0"/>
              <v:stroke on="f"/>
              <v:imagedata o:title=""/>
              <o:lock v:ext="edit" aspectratio="f"/>
              <v:textbox inset="0mm,0mm,0mm,0mm" style="mso-fit-shape-to-text:t;">
                <w:txbxContent>
                  <w:p w14:paraId="589508D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542F">
    <w:pPr>
      <w:pStyle w:val="20"/>
      <w:framePr w:wrap="around" w:vAnchor="text" w:hAnchor="margin" w:xAlign="center" w:yAlign="top"/>
      <w:pBdr>
        <w:between w:val="none" w:color="auto" w:sz="0" w:space="0"/>
      </w:pBdr>
    </w:pPr>
    <w:r>
      <w:fldChar w:fldCharType="begin"/>
    </w:r>
    <w:r>
      <w:rPr>
        <w:rStyle w:val="35"/>
      </w:rPr>
      <w:instrText xml:space="preserve"> PAGE  </w:instrText>
    </w:r>
    <w:r>
      <w:fldChar w:fldCharType="separate"/>
    </w:r>
    <w:r>
      <w:rPr>
        <w:rStyle w:val="35"/>
      </w:rPr>
      <w:t>- 3 -</w:t>
    </w:r>
    <w:r>
      <w:fldChar w:fldCharType="end"/>
    </w:r>
  </w:p>
  <w:p w14:paraId="289399A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349D">
    <w:pPr>
      <w:pStyle w:val="69"/>
      <w:jc w:val="cente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5A89F80E">
                          <w:pP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p w14:paraId="6D8275DD"/>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6PtyQywEAAJoDAAAOAAAAAAAAAAEAIAAAAB8BAABkcnMvZTJv&#10;RG9jLnhtbFBLBQYAAAAABgAGAFkBAABcBQAAAAA=&#10;">
              <v:fill on="f" focussize="0,0"/>
              <v:stroke on="f"/>
              <v:imagedata o:title=""/>
              <o:lock v:ext="edit" aspectratio="f"/>
              <v:textbox inset="0mm,0mm,0mm,0mm" style="mso-fit-shape-to-text:t;">
                <w:txbxContent>
                  <w:p w14:paraId="5A89F80E">
                    <w:pP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p w14:paraId="6D8275DD"/>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0898">
    <w:pPr>
      <w:pStyle w:val="68"/>
      <w:rPr>
        <w:rFonts w:hint="eastAsia" w:ascii="楷体" w:hAnsi="楷体" w:eastAsia="楷体" w:cs="楷体"/>
        <w:bCs/>
        <w:sz w:val="21"/>
        <w:szCs w:val="21"/>
        <w:u w:val="single"/>
        <w:lang w:eastAsia="zh-CN"/>
      </w:rPr>
    </w:pPr>
    <w:r>
      <w:rPr>
        <w:rFonts w:hint="eastAsia" w:ascii="楷体" w:hAnsi="楷体" w:eastAsia="楷体" w:cs="楷体"/>
        <w:bCs/>
        <w:sz w:val="21"/>
        <w:szCs w:val="21"/>
        <w:u w:val="single"/>
      </w:rPr>
      <w:t xml:space="preserve">打击黑恶势力，构建阳光交易                            项目编号: </w:t>
    </w:r>
    <w:r>
      <w:rPr>
        <w:rFonts w:hint="eastAsia" w:ascii="楷体" w:hAnsi="楷体" w:eastAsia="楷体" w:cs="楷体"/>
        <w:bCs/>
        <w:sz w:val="21"/>
        <w:szCs w:val="21"/>
        <w:u w:val="single"/>
        <w:lang w:eastAsia="zh-CN"/>
      </w:rPr>
      <w:t>JSZC-320282-HCCG-G2024-0118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3931D559"/>
    <w:multiLevelType w:val="singleLevel"/>
    <w:tmpl w:val="3931D559"/>
    <w:lvl w:ilvl="0" w:tentative="0">
      <w:start w:val="1"/>
      <w:numFmt w:val="chineseCounting"/>
      <w:suff w:val="space"/>
      <w:lvlText w:val="第%1章"/>
      <w:lvlJc w:val="left"/>
      <w:rPr>
        <w:rFonts w:hint="eastAsia"/>
      </w:rPr>
    </w:lvl>
  </w:abstractNum>
  <w:abstractNum w:abstractNumId="5">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6">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7">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8">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9">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4"/>
  </w:num>
  <w:num w:numId="2">
    <w:abstractNumId w:val="3"/>
  </w:num>
  <w:num w:numId="3">
    <w:abstractNumId w:val="6"/>
  </w:num>
  <w:num w:numId="4">
    <w:abstractNumId w:val="5"/>
  </w:num>
  <w:num w:numId="5">
    <w:abstractNumId w:val="7"/>
  </w:num>
  <w:num w:numId="6">
    <w:abstractNumId w:val="0"/>
  </w:num>
  <w:num w:numId="7">
    <w:abstractNumId w:val="9"/>
  </w:num>
  <w:num w:numId="8">
    <w:abstractNumId w:val="2"/>
  </w:num>
  <w:num w:numId="9">
    <w:abstractNumId w:val="1"/>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206FC0"/>
    <w:rsid w:val="05212DAC"/>
    <w:rsid w:val="055C560D"/>
    <w:rsid w:val="05C9149F"/>
    <w:rsid w:val="061403B0"/>
    <w:rsid w:val="06237AB0"/>
    <w:rsid w:val="06405880"/>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2E2FE0"/>
    <w:rsid w:val="09562FD8"/>
    <w:rsid w:val="09750C0F"/>
    <w:rsid w:val="09AB37EF"/>
    <w:rsid w:val="09EC7123"/>
    <w:rsid w:val="0A2452A4"/>
    <w:rsid w:val="0A470BB7"/>
    <w:rsid w:val="0A5E5003"/>
    <w:rsid w:val="0AAC68B2"/>
    <w:rsid w:val="0AC00D15"/>
    <w:rsid w:val="0AE27747"/>
    <w:rsid w:val="0AE33117"/>
    <w:rsid w:val="0B093D05"/>
    <w:rsid w:val="0B154457"/>
    <w:rsid w:val="0B246449"/>
    <w:rsid w:val="0B2E72E2"/>
    <w:rsid w:val="0B765AC5"/>
    <w:rsid w:val="0BDE535C"/>
    <w:rsid w:val="0C5B0590"/>
    <w:rsid w:val="0C762AEF"/>
    <w:rsid w:val="0C850A8B"/>
    <w:rsid w:val="0C943AA2"/>
    <w:rsid w:val="0C9E047D"/>
    <w:rsid w:val="0D407FA6"/>
    <w:rsid w:val="0D4F5C6F"/>
    <w:rsid w:val="0D7808FA"/>
    <w:rsid w:val="0D8E6B48"/>
    <w:rsid w:val="0DC4441F"/>
    <w:rsid w:val="0E294E12"/>
    <w:rsid w:val="0E2B1390"/>
    <w:rsid w:val="0E4C2F86"/>
    <w:rsid w:val="0E56100F"/>
    <w:rsid w:val="0E7A168D"/>
    <w:rsid w:val="0EA53CF4"/>
    <w:rsid w:val="0EC8358F"/>
    <w:rsid w:val="0F023C7E"/>
    <w:rsid w:val="0F1B71CC"/>
    <w:rsid w:val="0F233189"/>
    <w:rsid w:val="0F972411"/>
    <w:rsid w:val="0FCF7F30"/>
    <w:rsid w:val="0FD06B9F"/>
    <w:rsid w:val="0FD87BD4"/>
    <w:rsid w:val="0FEB4EEA"/>
    <w:rsid w:val="0FFB7DC9"/>
    <w:rsid w:val="100D4081"/>
    <w:rsid w:val="10433815"/>
    <w:rsid w:val="106A34AE"/>
    <w:rsid w:val="10CE0231"/>
    <w:rsid w:val="10FD4D24"/>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7F73B4"/>
    <w:rsid w:val="18AB5987"/>
    <w:rsid w:val="18C05902"/>
    <w:rsid w:val="192A4E65"/>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6133F"/>
    <w:rsid w:val="1BB91A55"/>
    <w:rsid w:val="1BC913BE"/>
    <w:rsid w:val="1BCC0B62"/>
    <w:rsid w:val="1BDD7793"/>
    <w:rsid w:val="1BF033A2"/>
    <w:rsid w:val="1C281B11"/>
    <w:rsid w:val="1C2C1601"/>
    <w:rsid w:val="1C8C20A0"/>
    <w:rsid w:val="1CBF5E00"/>
    <w:rsid w:val="1CF77801"/>
    <w:rsid w:val="1D3D3BF5"/>
    <w:rsid w:val="1D4311E6"/>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2550C"/>
    <w:rsid w:val="23256644"/>
    <w:rsid w:val="233B7C4B"/>
    <w:rsid w:val="235F1ED6"/>
    <w:rsid w:val="236E4662"/>
    <w:rsid w:val="23F21382"/>
    <w:rsid w:val="240A1CD2"/>
    <w:rsid w:val="241C15E3"/>
    <w:rsid w:val="241C1F5B"/>
    <w:rsid w:val="24A146FA"/>
    <w:rsid w:val="24B44889"/>
    <w:rsid w:val="250E5AD7"/>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C50688"/>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AB6F01"/>
    <w:rsid w:val="28C67243"/>
    <w:rsid w:val="28EC39B1"/>
    <w:rsid w:val="29135CBE"/>
    <w:rsid w:val="29145992"/>
    <w:rsid w:val="29454A74"/>
    <w:rsid w:val="2952220B"/>
    <w:rsid w:val="29575CAF"/>
    <w:rsid w:val="298C7B83"/>
    <w:rsid w:val="299B6018"/>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B52F20"/>
    <w:rsid w:val="2D28652F"/>
    <w:rsid w:val="2D9F2EAC"/>
    <w:rsid w:val="2DBE1284"/>
    <w:rsid w:val="2DE57862"/>
    <w:rsid w:val="2DF610EF"/>
    <w:rsid w:val="2E341290"/>
    <w:rsid w:val="2E3F32A3"/>
    <w:rsid w:val="2E500078"/>
    <w:rsid w:val="2E8E614B"/>
    <w:rsid w:val="2EAB2CCD"/>
    <w:rsid w:val="2EBB5294"/>
    <w:rsid w:val="2ECB2C40"/>
    <w:rsid w:val="2F00249E"/>
    <w:rsid w:val="2F702BD8"/>
    <w:rsid w:val="2F7F7A77"/>
    <w:rsid w:val="2F884522"/>
    <w:rsid w:val="2F8C4EDA"/>
    <w:rsid w:val="2FB7522E"/>
    <w:rsid w:val="300F6E18"/>
    <w:rsid w:val="303E128C"/>
    <w:rsid w:val="303E3CB1"/>
    <w:rsid w:val="306551CF"/>
    <w:rsid w:val="30A55F1F"/>
    <w:rsid w:val="30EA59FF"/>
    <w:rsid w:val="30F44CA4"/>
    <w:rsid w:val="31035392"/>
    <w:rsid w:val="310F3573"/>
    <w:rsid w:val="319813DE"/>
    <w:rsid w:val="31D02545"/>
    <w:rsid w:val="31F2254D"/>
    <w:rsid w:val="323F1C03"/>
    <w:rsid w:val="32E14265"/>
    <w:rsid w:val="33011A83"/>
    <w:rsid w:val="332F6941"/>
    <w:rsid w:val="33522202"/>
    <w:rsid w:val="3352350A"/>
    <w:rsid w:val="335E1624"/>
    <w:rsid w:val="3366108E"/>
    <w:rsid w:val="33B2468A"/>
    <w:rsid w:val="34244730"/>
    <w:rsid w:val="344A48C2"/>
    <w:rsid w:val="349656C7"/>
    <w:rsid w:val="34AE30A3"/>
    <w:rsid w:val="34C208FD"/>
    <w:rsid w:val="34C557D2"/>
    <w:rsid w:val="350031D3"/>
    <w:rsid w:val="350A0459"/>
    <w:rsid w:val="35244188"/>
    <w:rsid w:val="3525010C"/>
    <w:rsid w:val="355E26D4"/>
    <w:rsid w:val="35BF0085"/>
    <w:rsid w:val="3612319D"/>
    <w:rsid w:val="362F33E8"/>
    <w:rsid w:val="36672031"/>
    <w:rsid w:val="368435EA"/>
    <w:rsid w:val="36B54BF8"/>
    <w:rsid w:val="3715147A"/>
    <w:rsid w:val="37384506"/>
    <w:rsid w:val="373A0C1E"/>
    <w:rsid w:val="376B0DD8"/>
    <w:rsid w:val="37D379A9"/>
    <w:rsid w:val="386A72E1"/>
    <w:rsid w:val="38A475B0"/>
    <w:rsid w:val="38E34C69"/>
    <w:rsid w:val="391F00CC"/>
    <w:rsid w:val="39252156"/>
    <w:rsid w:val="39C96289"/>
    <w:rsid w:val="39D215E2"/>
    <w:rsid w:val="3A041B24"/>
    <w:rsid w:val="3A2B4557"/>
    <w:rsid w:val="3A3423DE"/>
    <w:rsid w:val="3A4B4EF0"/>
    <w:rsid w:val="3ACD1A48"/>
    <w:rsid w:val="3ADA5387"/>
    <w:rsid w:val="3B3F4A55"/>
    <w:rsid w:val="3B442520"/>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546D80"/>
    <w:rsid w:val="415753EA"/>
    <w:rsid w:val="41880E74"/>
    <w:rsid w:val="41FF2BD8"/>
    <w:rsid w:val="427A4B26"/>
    <w:rsid w:val="427F4597"/>
    <w:rsid w:val="428B3060"/>
    <w:rsid w:val="42967865"/>
    <w:rsid w:val="429A7463"/>
    <w:rsid w:val="42EF4FB3"/>
    <w:rsid w:val="43085FCA"/>
    <w:rsid w:val="443A04B0"/>
    <w:rsid w:val="44502308"/>
    <w:rsid w:val="445A46AE"/>
    <w:rsid w:val="446472DA"/>
    <w:rsid w:val="44B51E27"/>
    <w:rsid w:val="44FB35F6"/>
    <w:rsid w:val="44FC4264"/>
    <w:rsid w:val="45103FB9"/>
    <w:rsid w:val="45177EA8"/>
    <w:rsid w:val="4528046D"/>
    <w:rsid w:val="45642F46"/>
    <w:rsid w:val="456C2E92"/>
    <w:rsid w:val="45AF4585"/>
    <w:rsid w:val="45BE59B4"/>
    <w:rsid w:val="45E977FB"/>
    <w:rsid w:val="46470102"/>
    <w:rsid w:val="46707570"/>
    <w:rsid w:val="467E0128"/>
    <w:rsid w:val="46BA7686"/>
    <w:rsid w:val="46DE6495"/>
    <w:rsid w:val="46EE3274"/>
    <w:rsid w:val="47017B7D"/>
    <w:rsid w:val="47145B68"/>
    <w:rsid w:val="47194C97"/>
    <w:rsid w:val="47596E9F"/>
    <w:rsid w:val="47E32EDF"/>
    <w:rsid w:val="47F210A1"/>
    <w:rsid w:val="47F33399"/>
    <w:rsid w:val="480212E4"/>
    <w:rsid w:val="482A7DE6"/>
    <w:rsid w:val="48643D4D"/>
    <w:rsid w:val="486755EB"/>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4F69BA"/>
    <w:rsid w:val="515E27BB"/>
    <w:rsid w:val="51714DE5"/>
    <w:rsid w:val="51B360B7"/>
    <w:rsid w:val="51CC6B58"/>
    <w:rsid w:val="521F0CE5"/>
    <w:rsid w:val="52643BC3"/>
    <w:rsid w:val="5272350A"/>
    <w:rsid w:val="528464D4"/>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D4E24"/>
    <w:rsid w:val="546D5D37"/>
    <w:rsid w:val="5488095A"/>
    <w:rsid w:val="54E77BD2"/>
    <w:rsid w:val="55006E9D"/>
    <w:rsid w:val="55286102"/>
    <w:rsid w:val="556D48F6"/>
    <w:rsid w:val="558D5B8C"/>
    <w:rsid w:val="55901ECB"/>
    <w:rsid w:val="559C4B20"/>
    <w:rsid w:val="55B54294"/>
    <w:rsid w:val="55B5679A"/>
    <w:rsid w:val="55CC0BEA"/>
    <w:rsid w:val="55EA1FEA"/>
    <w:rsid w:val="56062E12"/>
    <w:rsid w:val="562B406E"/>
    <w:rsid w:val="565369E2"/>
    <w:rsid w:val="5683366D"/>
    <w:rsid w:val="5685460B"/>
    <w:rsid w:val="56D266B2"/>
    <w:rsid w:val="56D96F09"/>
    <w:rsid w:val="571F45A2"/>
    <w:rsid w:val="572648C3"/>
    <w:rsid w:val="574A165A"/>
    <w:rsid w:val="578674B3"/>
    <w:rsid w:val="57875436"/>
    <w:rsid w:val="57FB28B2"/>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B87F28"/>
    <w:rsid w:val="5AD3266C"/>
    <w:rsid w:val="5B754472"/>
    <w:rsid w:val="5B7C063E"/>
    <w:rsid w:val="5B873BF5"/>
    <w:rsid w:val="5BF775CB"/>
    <w:rsid w:val="5C252CFE"/>
    <w:rsid w:val="5C3D6D22"/>
    <w:rsid w:val="5CBD1826"/>
    <w:rsid w:val="5CC9763D"/>
    <w:rsid w:val="5D216B2F"/>
    <w:rsid w:val="5D420DFC"/>
    <w:rsid w:val="5D5549EB"/>
    <w:rsid w:val="5D74461A"/>
    <w:rsid w:val="5D746389"/>
    <w:rsid w:val="5DEA21A7"/>
    <w:rsid w:val="5E2A5F0E"/>
    <w:rsid w:val="5E3A04BB"/>
    <w:rsid w:val="5E4547AE"/>
    <w:rsid w:val="5E582738"/>
    <w:rsid w:val="5E5A37D0"/>
    <w:rsid w:val="5E760C64"/>
    <w:rsid w:val="5EEE216B"/>
    <w:rsid w:val="5F4678B1"/>
    <w:rsid w:val="5F672799"/>
    <w:rsid w:val="5F7905F5"/>
    <w:rsid w:val="5F940B22"/>
    <w:rsid w:val="5FFF011D"/>
    <w:rsid w:val="60041E4B"/>
    <w:rsid w:val="602C1936"/>
    <w:rsid w:val="609344DC"/>
    <w:rsid w:val="60C43183"/>
    <w:rsid w:val="60DB227B"/>
    <w:rsid w:val="614222FA"/>
    <w:rsid w:val="61C85B82"/>
    <w:rsid w:val="62266919"/>
    <w:rsid w:val="6271365E"/>
    <w:rsid w:val="62C158BA"/>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C74"/>
    <w:rsid w:val="680D4CD2"/>
    <w:rsid w:val="68593922"/>
    <w:rsid w:val="685A006E"/>
    <w:rsid w:val="687145EF"/>
    <w:rsid w:val="687A1251"/>
    <w:rsid w:val="687C07E7"/>
    <w:rsid w:val="68A3180D"/>
    <w:rsid w:val="68B4277B"/>
    <w:rsid w:val="68E1064A"/>
    <w:rsid w:val="6935729D"/>
    <w:rsid w:val="693F1611"/>
    <w:rsid w:val="69553578"/>
    <w:rsid w:val="695D334A"/>
    <w:rsid w:val="69FD3262"/>
    <w:rsid w:val="6A1F00F1"/>
    <w:rsid w:val="6A8B6AC0"/>
    <w:rsid w:val="6AD91D08"/>
    <w:rsid w:val="6B274489"/>
    <w:rsid w:val="6B5A2FD8"/>
    <w:rsid w:val="6BA052C9"/>
    <w:rsid w:val="6BC34462"/>
    <w:rsid w:val="6C3A600B"/>
    <w:rsid w:val="6C7C127A"/>
    <w:rsid w:val="6C89009E"/>
    <w:rsid w:val="6C9A56E0"/>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A96682"/>
    <w:rsid w:val="6EAB2512"/>
    <w:rsid w:val="6ECF29D8"/>
    <w:rsid w:val="6EE86804"/>
    <w:rsid w:val="6F1C418A"/>
    <w:rsid w:val="6F2D5F56"/>
    <w:rsid w:val="6F495BDA"/>
    <w:rsid w:val="6F813577"/>
    <w:rsid w:val="6F8971C7"/>
    <w:rsid w:val="6F975F07"/>
    <w:rsid w:val="6FA7341F"/>
    <w:rsid w:val="6FEA2D0D"/>
    <w:rsid w:val="701A2DBF"/>
    <w:rsid w:val="708244C1"/>
    <w:rsid w:val="70B568F5"/>
    <w:rsid w:val="70CD385D"/>
    <w:rsid w:val="70DB4C3C"/>
    <w:rsid w:val="70E32CAA"/>
    <w:rsid w:val="7101188A"/>
    <w:rsid w:val="713C5FEF"/>
    <w:rsid w:val="71423739"/>
    <w:rsid w:val="71B608C6"/>
    <w:rsid w:val="71D1732D"/>
    <w:rsid w:val="71D472B8"/>
    <w:rsid w:val="720F3D92"/>
    <w:rsid w:val="726245AA"/>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7267B4"/>
    <w:rsid w:val="74A96D91"/>
    <w:rsid w:val="7537175E"/>
    <w:rsid w:val="75637742"/>
    <w:rsid w:val="75720FA8"/>
    <w:rsid w:val="75801DF5"/>
    <w:rsid w:val="75C27FCF"/>
    <w:rsid w:val="76715331"/>
    <w:rsid w:val="76BF45E2"/>
    <w:rsid w:val="76BF6888"/>
    <w:rsid w:val="76C571D1"/>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DA2110"/>
    <w:rsid w:val="78E21383"/>
    <w:rsid w:val="78E233CA"/>
    <w:rsid w:val="790D6F0A"/>
    <w:rsid w:val="791E4595"/>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937D88"/>
    <w:rsid w:val="7CD50BD5"/>
    <w:rsid w:val="7D0306DA"/>
    <w:rsid w:val="7D144061"/>
    <w:rsid w:val="7D3D41B9"/>
    <w:rsid w:val="7D4960AF"/>
    <w:rsid w:val="7D9B2D80"/>
    <w:rsid w:val="7DB008BF"/>
    <w:rsid w:val="7DE41F8A"/>
    <w:rsid w:val="7E1C2F96"/>
    <w:rsid w:val="7E4648D8"/>
    <w:rsid w:val="7E65718F"/>
    <w:rsid w:val="7E856CB7"/>
    <w:rsid w:val="7EE747B5"/>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rPr>
      <w:rFonts w:cs="Times New Roman"/>
    </w:rPr>
  </w:style>
  <w:style w:type="paragraph" w:styleId="13">
    <w:name w:val="annotation text"/>
    <w:basedOn w:val="1"/>
    <w:qFormat/>
    <w:uiPriority w:val="0"/>
    <w:pPr>
      <w:jc w:val="left"/>
    </w:pPr>
  </w:style>
  <w:style w:type="paragraph" w:styleId="14">
    <w:name w:val="Body Text"/>
    <w:basedOn w:val="1"/>
    <w:qFormat/>
    <w:uiPriority w:val="0"/>
    <w:rPr>
      <w:rFonts w:cs="Times New Roman"/>
      <w:sz w:val="20"/>
      <w:szCs w:val="20"/>
    </w:rPr>
  </w:style>
  <w:style w:type="paragraph" w:styleId="15">
    <w:name w:val="Body Text Indent"/>
    <w:basedOn w:val="1"/>
    <w:unhideWhenUsed/>
    <w:qFormat/>
    <w:uiPriority w:val="99"/>
    <w:pPr>
      <w:spacing w:after="120"/>
      <w:ind w:left="420" w:leftChars="200"/>
    </w:pPr>
  </w:style>
  <w:style w:type="paragraph" w:styleId="16">
    <w:name w:val="index 4"/>
    <w:basedOn w:val="1"/>
    <w:next w:val="1"/>
    <w:unhideWhenUsed/>
    <w:qFormat/>
    <w:uiPriority w:val="0"/>
    <w:pPr>
      <w:ind w:left="600" w:leftChars="6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2"/>
    <w:unhideWhenUsed/>
    <w:qFormat/>
    <w:uiPriority w:val="0"/>
    <w:rPr>
      <w:rFonts w:ascii="宋体" w:hAnsi="Courier New"/>
    </w:rPr>
  </w:style>
  <w:style w:type="paragraph" w:styleId="19">
    <w:name w:val="Balloon Text"/>
    <w:basedOn w:val="1"/>
    <w:link w:val="41"/>
    <w:unhideWhenUsed/>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8">
    <w:name w:val="annotation subject"/>
    <w:basedOn w:val="13"/>
    <w:next w:val="29"/>
    <w:qFormat/>
    <w:uiPriority w:val="0"/>
    <w:rPr>
      <w:b/>
      <w:bCs/>
    </w:rPr>
  </w:style>
  <w:style w:type="paragraph" w:customStyle="1" w:styleId="29">
    <w:name w:val="Plain Text1"/>
    <w:basedOn w:val="1"/>
    <w:next w:val="11"/>
    <w:qFormat/>
    <w:uiPriority w:val="0"/>
    <w:pPr>
      <w:spacing w:line="360" w:lineRule="auto"/>
      <w:ind w:firstLine="3584"/>
    </w:pPr>
  </w:style>
  <w:style w:type="paragraph" w:styleId="30">
    <w:name w:val="Body Text First Indent"/>
    <w:basedOn w:val="14"/>
    <w:qFormat/>
    <w:uiPriority w:val="0"/>
    <w:pPr>
      <w:ind w:firstLine="420" w:firstLineChars="100"/>
    </w:pPr>
    <w:rPr>
      <w:rFonts w:ascii="Verdana" w:hAnsi="Verdana"/>
      <w:szCs w:val="28"/>
      <w:lang w:eastAsia="en-US"/>
    </w:rPr>
  </w:style>
  <w:style w:type="paragraph" w:styleId="31">
    <w:name w:val="Body Text First Indent 2"/>
    <w:basedOn w:val="15"/>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2"/>
    <w:qFormat/>
    <w:uiPriority w:val="0"/>
    <w:rPr>
      <w:b/>
      <w:kern w:val="44"/>
      <w:sz w:val="44"/>
    </w:rPr>
  </w:style>
  <w:style w:type="character" w:customStyle="1" w:styleId="41">
    <w:name w:val="批注框文本 Char"/>
    <w:basedOn w:val="34"/>
    <w:link w:val="19"/>
    <w:semiHidden/>
    <w:qFormat/>
    <w:uiPriority w:val="99"/>
    <w:rPr>
      <w:kern w:val="2"/>
      <w:sz w:val="18"/>
      <w:szCs w:val="18"/>
    </w:rPr>
  </w:style>
  <w:style w:type="character" w:customStyle="1" w:styleId="42">
    <w:name w:val="页脚 Char"/>
    <w:basedOn w:val="34"/>
    <w:link w:val="20"/>
    <w:qFormat/>
    <w:uiPriority w:val="99"/>
    <w:rPr>
      <w:kern w:val="2"/>
      <w:sz w:val="18"/>
    </w:rPr>
  </w:style>
  <w:style w:type="paragraph" w:customStyle="1" w:styleId="43">
    <w:name w:val="xl31"/>
    <w:basedOn w:val="1"/>
    <w:next w:val="30"/>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44</Pages>
  <Words>18488</Words>
  <Characters>19419</Characters>
  <Lines>248</Lines>
  <Paragraphs>69</Paragraphs>
  <TotalTime>0</TotalTime>
  <ScaleCrop>false</ScaleCrop>
  <LinksUpToDate>false</LinksUpToDate>
  <CharactersWithSpaces>21642</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21093</cp:lastModifiedBy>
  <cp:lastPrinted>2024-11-04T02:20:00Z</cp:lastPrinted>
  <dcterms:modified xsi:type="dcterms:W3CDTF">2025-01-10T07:04:59Z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D4CD136FC73B429DBBCED747BB533D65_13</vt:lpwstr>
  </property>
  <property fmtid="{D5CDD505-2E9C-101B-9397-08002B2CF9AE}" pid="4" name="KSOTemplateDocerSaveRecord">
    <vt:lpwstr>eyJoZGlkIjoiNDVkMTViOGUzMTdmOTRiYmRkNmE5NjY2ZDE0MzgzYTgiLCJ1c2VySWQiOiIxMTY4MzYxNTU3In0=</vt:lpwstr>
  </property>
</Properties>
</file>