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68" w:rsidRDefault="004D03F2">
      <w:pPr>
        <w:jc w:val="center"/>
        <w:rPr>
          <w:rFonts w:ascii="黑体" w:eastAsia="黑体"/>
          <w:b/>
          <w:sz w:val="44"/>
          <w:szCs w:val="44"/>
        </w:rPr>
      </w:pPr>
      <w:r w:rsidRPr="004D03F2">
        <w:rPr>
          <w:rFonts w:ascii="黑体" w:eastAsia="黑体" w:hint="eastAsia"/>
          <w:b/>
          <w:sz w:val="44"/>
          <w:szCs w:val="44"/>
        </w:rPr>
        <w:t>宜兴市公用市政工程有限公司小径港藻水分离站张拉膜顶棚采购</w:t>
      </w:r>
      <w:r w:rsidR="004B438F">
        <w:rPr>
          <w:rFonts w:ascii="黑体" w:eastAsia="黑体" w:hint="eastAsia"/>
          <w:b/>
          <w:sz w:val="44"/>
          <w:szCs w:val="44"/>
        </w:rPr>
        <w:t>澄清公告</w:t>
      </w:r>
    </w:p>
    <w:p w:rsidR="00060468" w:rsidRDefault="004B438F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4D03F2" w:rsidRP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宜兴市公用市政工程有限公司小径港藻水分离站张拉膜顶棚采购</w:t>
      </w:r>
      <w:r w:rsid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项目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进行公开招标，已于2022年</w:t>
      </w:r>
      <w:r w:rsid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8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30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日发布了招标公告，现发布第1次澄清公告。</w:t>
      </w:r>
    </w:p>
    <w:p w:rsidR="00060468" w:rsidRDefault="004B438F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060468" w:rsidRPr="004D03F2" w:rsidRDefault="004B438F" w:rsidP="004D03F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4D03F2" w:rsidRPr="00A536C6">
        <w:rPr>
          <w:rFonts w:ascii="仿宋" w:eastAsia="仿宋" w:hAnsi="仿宋" w:hint="eastAsia"/>
          <w:sz w:val="28"/>
          <w:szCs w:val="28"/>
        </w:rPr>
        <w:t>小径港藻水分离站张拉膜顶棚采购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4D03F2" w:rsidRPr="00A536C6">
        <w:rPr>
          <w:rFonts w:ascii="仿宋" w:eastAsia="仿宋" w:hAnsi="仿宋"/>
          <w:sz w:val="28"/>
          <w:szCs w:val="28"/>
        </w:rPr>
        <w:t>YXGYJT202206019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</w:t>
      </w:r>
      <w:r w:rsid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8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30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4、第一次更正公告日期：2022年</w:t>
      </w:r>
      <w:r w:rsid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9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4D03F2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5、公告媒体：宜兴市公用环保集团有限公司网站</w:t>
      </w: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>
        <w:rPr>
          <w:rFonts w:ascii="Calibri" w:eastAsia="宋体" w:hAnsi="Calibri" w:cs="Calibri"/>
          <w:color w:val="444444"/>
          <w:kern w:val="0"/>
          <w:sz w:val="28"/>
          <w:szCs w:val="28"/>
        </w:rPr>
        <w:t> 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1747B6" w:rsidRPr="004D03F2" w:rsidRDefault="004B438F" w:rsidP="004D03F2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Cs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1、</w:t>
      </w:r>
      <w:r w:rsidR="004D03F2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报价清单作以下修改：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887"/>
        <w:gridCol w:w="1061"/>
        <w:gridCol w:w="771"/>
        <w:gridCol w:w="841"/>
        <w:gridCol w:w="840"/>
        <w:gridCol w:w="1023"/>
        <w:gridCol w:w="1011"/>
        <w:gridCol w:w="1579"/>
      </w:tblGrid>
      <w:tr w:rsidR="004D03F2" w:rsidTr="00A76F9F">
        <w:tc>
          <w:tcPr>
            <w:tcW w:w="5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序号</w:t>
            </w:r>
          </w:p>
        </w:tc>
        <w:tc>
          <w:tcPr>
            <w:tcW w:w="96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项目</w:t>
            </w:r>
          </w:p>
        </w:tc>
        <w:tc>
          <w:tcPr>
            <w:tcW w:w="112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数量</w:t>
            </w:r>
          </w:p>
        </w:tc>
        <w:tc>
          <w:tcPr>
            <w:tcW w:w="895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单位</w:t>
            </w:r>
          </w:p>
        </w:tc>
        <w:tc>
          <w:tcPr>
            <w:tcW w:w="99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不含税单价</w:t>
            </w:r>
          </w:p>
        </w:tc>
        <w:tc>
          <w:tcPr>
            <w:tcW w:w="992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单价</w:t>
            </w:r>
          </w:p>
        </w:tc>
        <w:tc>
          <w:tcPr>
            <w:tcW w:w="1247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总价</w:t>
            </w:r>
          </w:p>
        </w:tc>
        <w:tc>
          <w:tcPr>
            <w:tcW w:w="12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响应品牌</w:t>
            </w:r>
          </w:p>
        </w:tc>
        <w:tc>
          <w:tcPr>
            <w:tcW w:w="188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备注</w:t>
            </w:r>
          </w:p>
        </w:tc>
      </w:tr>
      <w:tr w:rsidR="004D03F2" w:rsidTr="00A76F9F">
        <w:trPr>
          <w:trHeight w:val="1000"/>
        </w:trPr>
        <w:tc>
          <w:tcPr>
            <w:tcW w:w="5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1</w:t>
            </w:r>
          </w:p>
        </w:tc>
        <w:tc>
          <w:tcPr>
            <w:tcW w:w="96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膜结构</w:t>
            </w:r>
          </w:p>
        </w:tc>
        <w:tc>
          <w:tcPr>
            <w:tcW w:w="112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/>
              </w:rPr>
              <w:t>2766.24</w:t>
            </w:r>
          </w:p>
        </w:tc>
        <w:tc>
          <w:tcPr>
            <w:tcW w:w="895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247" w:type="dxa"/>
            <w:vAlign w:val="center"/>
          </w:tcPr>
          <w:p w:rsidR="004D03F2" w:rsidRDefault="00174C94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/>
                <w:bCs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0.85pt;margin-top:-6.7pt;width:57.75pt;height:48pt;z-index:251660288;mso-position-horizontal-relative:text;mso-position-vertical-relative:text" o:connectortype="straight"/>
              </w:pict>
            </w:r>
          </w:p>
        </w:tc>
        <w:tc>
          <w:tcPr>
            <w:tcW w:w="12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88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投影面积，G类</w:t>
            </w:r>
          </w:p>
        </w:tc>
      </w:tr>
      <w:tr w:rsidR="004D03F2" w:rsidTr="00A76F9F">
        <w:tc>
          <w:tcPr>
            <w:tcW w:w="5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2</w:t>
            </w:r>
          </w:p>
        </w:tc>
        <w:tc>
          <w:tcPr>
            <w:tcW w:w="96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钢结构</w:t>
            </w:r>
          </w:p>
        </w:tc>
        <w:tc>
          <w:tcPr>
            <w:tcW w:w="112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81.13</w:t>
            </w:r>
          </w:p>
        </w:tc>
        <w:tc>
          <w:tcPr>
            <w:tcW w:w="895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t</w:t>
            </w:r>
          </w:p>
        </w:tc>
        <w:tc>
          <w:tcPr>
            <w:tcW w:w="99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247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2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88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 w:rsidRPr="00D2098E">
              <w:rPr>
                <w:rFonts w:ascii="宋体" w:hAnsi="宋体" w:hint="eastAsia"/>
                <w:bCs/>
                <w:sz w:val="24"/>
                <w:lang w:val="zh-CN"/>
              </w:rPr>
              <w:t>参照附件《钢结构计算书》，最低不得低于计算书中要求</w:t>
            </w:r>
          </w:p>
        </w:tc>
      </w:tr>
      <w:tr w:rsidR="004D03F2" w:rsidTr="00A76F9F">
        <w:tc>
          <w:tcPr>
            <w:tcW w:w="5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3</w:t>
            </w:r>
          </w:p>
        </w:tc>
        <w:tc>
          <w:tcPr>
            <w:tcW w:w="963" w:type="dxa"/>
            <w:vAlign w:val="center"/>
          </w:tcPr>
          <w:p w:rsidR="004D03F2" w:rsidRDefault="00534C63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压膜板、托模版、垫板</w:t>
            </w:r>
          </w:p>
        </w:tc>
        <w:tc>
          <w:tcPr>
            <w:tcW w:w="112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1</w:t>
            </w:r>
          </w:p>
        </w:tc>
        <w:tc>
          <w:tcPr>
            <w:tcW w:w="895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批</w:t>
            </w:r>
          </w:p>
        </w:tc>
        <w:tc>
          <w:tcPr>
            <w:tcW w:w="99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247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2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881" w:type="dxa"/>
            <w:vAlign w:val="center"/>
          </w:tcPr>
          <w:p w:rsidR="004D03F2" w:rsidRPr="00D2098E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根据图纸要求</w:t>
            </w:r>
            <w:r w:rsidR="00534C63">
              <w:rPr>
                <w:rFonts w:ascii="宋体" w:hAnsi="宋体" w:hint="eastAsia"/>
                <w:bCs/>
                <w:sz w:val="24"/>
                <w:lang w:val="zh-CN"/>
              </w:rPr>
              <w:t>，铝合金材质，</w:t>
            </w:r>
            <w:r w:rsidR="001747B6">
              <w:rPr>
                <w:rFonts w:ascii="宋体" w:hAnsi="宋体" w:hint="eastAsia"/>
                <w:bCs/>
                <w:sz w:val="24"/>
                <w:lang w:val="zh-CN"/>
              </w:rPr>
              <w:t>质量符合铝合金相关</w:t>
            </w:r>
            <w:r w:rsidR="001747B6">
              <w:rPr>
                <w:rFonts w:ascii="宋体" w:hAnsi="宋体" w:hint="eastAsia"/>
                <w:bCs/>
                <w:sz w:val="24"/>
                <w:lang w:val="zh-CN"/>
              </w:rPr>
              <w:lastRenderedPageBreak/>
              <w:t>各类国标要求，</w:t>
            </w:r>
            <w:r w:rsidR="00534C63">
              <w:rPr>
                <w:rFonts w:ascii="宋体" w:hAnsi="宋体" w:hint="eastAsia"/>
                <w:bCs/>
                <w:sz w:val="24"/>
                <w:lang w:val="zh-CN"/>
              </w:rPr>
              <w:t>厚度不小于2mm</w:t>
            </w:r>
          </w:p>
        </w:tc>
      </w:tr>
      <w:tr w:rsidR="004D03F2" w:rsidTr="00A76F9F">
        <w:tc>
          <w:tcPr>
            <w:tcW w:w="5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lastRenderedPageBreak/>
              <w:t>4</w:t>
            </w:r>
          </w:p>
        </w:tc>
        <w:tc>
          <w:tcPr>
            <w:tcW w:w="96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基础、预埋及其他安装辅件</w:t>
            </w:r>
          </w:p>
        </w:tc>
        <w:tc>
          <w:tcPr>
            <w:tcW w:w="112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1</w:t>
            </w:r>
          </w:p>
        </w:tc>
        <w:tc>
          <w:tcPr>
            <w:tcW w:w="895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批</w:t>
            </w:r>
          </w:p>
        </w:tc>
        <w:tc>
          <w:tcPr>
            <w:tcW w:w="993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247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23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881" w:type="dxa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根据图纸</w:t>
            </w:r>
            <w:r w:rsidR="001747B6">
              <w:rPr>
                <w:rFonts w:ascii="宋体" w:hAnsi="宋体" w:hint="eastAsia"/>
                <w:bCs/>
                <w:sz w:val="24"/>
                <w:lang w:val="zh-CN"/>
              </w:rPr>
              <w:t>要求及实际安全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要求</w:t>
            </w:r>
          </w:p>
        </w:tc>
      </w:tr>
      <w:tr w:rsidR="004D03F2" w:rsidTr="00A76F9F">
        <w:tc>
          <w:tcPr>
            <w:tcW w:w="2615" w:type="dxa"/>
            <w:gridSpan w:val="3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合计</w:t>
            </w:r>
          </w:p>
        </w:tc>
        <w:tc>
          <w:tcPr>
            <w:tcW w:w="7239" w:type="dxa"/>
            <w:gridSpan w:val="6"/>
            <w:vAlign w:val="center"/>
          </w:tcPr>
          <w:p w:rsidR="004D03F2" w:rsidRDefault="004D03F2" w:rsidP="00C64D24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lang w:val="zh-CN"/>
              </w:rPr>
            </w:pPr>
          </w:p>
        </w:tc>
      </w:tr>
    </w:tbl>
    <w:p w:rsidR="004D03F2" w:rsidRDefault="004B438F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4D03F2">
        <w:rPr>
          <w:rFonts w:ascii="仿宋" w:eastAsia="仿宋" w:hAnsi="仿宋" w:hint="eastAsia"/>
          <w:sz w:val="28"/>
          <w:szCs w:val="28"/>
        </w:rPr>
        <w:t>本项目招标范围包含图纸中所有施工</w:t>
      </w:r>
      <w:r w:rsidR="001747B6">
        <w:rPr>
          <w:rFonts w:ascii="仿宋" w:eastAsia="仿宋" w:hAnsi="仿宋" w:hint="eastAsia"/>
          <w:sz w:val="28"/>
          <w:szCs w:val="28"/>
        </w:rPr>
        <w:t>内容，请投标单位仔细核对图纸附件等资料。</w:t>
      </w:r>
    </w:p>
    <w:p w:rsidR="00060468" w:rsidRDefault="004D03F2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4B438F">
        <w:rPr>
          <w:rFonts w:ascii="仿宋" w:eastAsia="仿宋" w:hAnsi="仿宋" w:hint="eastAsia"/>
          <w:sz w:val="28"/>
          <w:szCs w:val="28"/>
          <w:highlight w:val="yellow"/>
        </w:rPr>
        <w:t>本项目开标时间延后至2022年</w:t>
      </w:r>
      <w:r>
        <w:rPr>
          <w:rFonts w:ascii="仿宋" w:eastAsia="仿宋" w:hAnsi="仿宋" w:hint="eastAsia"/>
          <w:sz w:val="28"/>
          <w:szCs w:val="28"/>
          <w:highlight w:val="yellow"/>
        </w:rPr>
        <w:t>9</w:t>
      </w:r>
      <w:r w:rsidR="004B438F">
        <w:rPr>
          <w:rFonts w:ascii="仿宋" w:eastAsia="仿宋" w:hAnsi="仿宋" w:hint="eastAsia"/>
          <w:sz w:val="28"/>
          <w:szCs w:val="28"/>
          <w:highlight w:val="yellow"/>
        </w:rPr>
        <w:t>月</w:t>
      </w:r>
      <w:r>
        <w:rPr>
          <w:rFonts w:ascii="仿宋" w:eastAsia="仿宋" w:hAnsi="仿宋" w:hint="eastAsia"/>
          <w:sz w:val="28"/>
          <w:szCs w:val="28"/>
          <w:highlight w:val="yellow"/>
        </w:rPr>
        <w:t>8</w:t>
      </w:r>
      <w:r w:rsidR="004B438F">
        <w:rPr>
          <w:rFonts w:ascii="仿宋" w:eastAsia="仿宋" w:hAnsi="仿宋" w:hint="eastAsia"/>
          <w:sz w:val="28"/>
          <w:szCs w:val="28"/>
          <w:highlight w:val="yellow"/>
        </w:rPr>
        <w:t>日</w:t>
      </w:r>
      <w:r>
        <w:rPr>
          <w:rFonts w:ascii="仿宋" w:eastAsia="仿宋" w:hAnsi="仿宋" w:hint="eastAsia"/>
          <w:sz w:val="28"/>
          <w:szCs w:val="28"/>
          <w:highlight w:val="yellow"/>
        </w:rPr>
        <w:t>10</w:t>
      </w:r>
      <w:r w:rsidR="004B438F">
        <w:rPr>
          <w:rFonts w:ascii="仿宋" w:eastAsia="仿宋" w:hAnsi="仿宋" w:hint="eastAsia"/>
          <w:sz w:val="28"/>
          <w:szCs w:val="28"/>
          <w:highlight w:val="yellow"/>
        </w:rPr>
        <w:t>:00，请意向投标单位自今日起投标保证金汇至以下账户，之前汇款的投标保证金仍有效。</w:t>
      </w:r>
    </w:p>
    <w:p w:rsidR="00060468" w:rsidRDefault="004B438F">
      <w:pPr>
        <w:pStyle w:val="a7"/>
        <w:rPr>
          <w:rFonts w:ascii="仿宋" w:eastAsia="仿宋" w:hAnsi="仿宋"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投标保证金：</w:t>
      </w:r>
      <w:bookmarkStart w:id="0" w:name="OLE_LINK49"/>
      <w:bookmarkStart w:id="1" w:name="OLE_LINK138"/>
      <w:r>
        <w:rPr>
          <w:rFonts w:ascii="仿宋" w:eastAsia="仿宋" w:hAnsi="仿宋" w:hint="eastAsia"/>
          <w:sz w:val="28"/>
          <w:szCs w:val="28"/>
        </w:rPr>
        <w:t>采购人根据项目的实际情况，要求投标人交纳投标保证</w:t>
      </w:r>
      <w:r w:rsidR="004D03F2" w:rsidRPr="004D03F2">
        <w:rPr>
          <w:rFonts w:ascii="仿宋" w:eastAsia="仿宋" w:hAnsi="仿宋" w:hint="eastAsia"/>
          <w:b/>
          <w:sz w:val="28"/>
          <w:szCs w:val="28"/>
        </w:rPr>
        <w:t>伍仟</w:t>
      </w:r>
      <w:r>
        <w:rPr>
          <w:rFonts w:ascii="仿宋" w:eastAsia="仿宋" w:hAnsi="仿宋" w:hint="eastAsia"/>
          <w:sz w:val="28"/>
          <w:szCs w:val="28"/>
        </w:rPr>
        <w:t>元人民币。</w:t>
      </w:r>
      <w:bookmarkEnd w:id="0"/>
      <w:r>
        <w:rPr>
          <w:rFonts w:ascii="仿宋" w:eastAsia="仿宋" w:hAnsi="仿宋" w:hint="eastAsia"/>
          <w:sz w:val="28"/>
          <w:szCs w:val="28"/>
        </w:rPr>
        <w:t>交纳投标保证金的单位名称必须与参加投标的投标人名称一致</w:t>
      </w:r>
      <w:bookmarkEnd w:id="1"/>
      <w:r>
        <w:rPr>
          <w:rFonts w:ascii="仿宋" w:eastAsia="仿宋" w:hAnsi="仿宋" w:hint="eastAsia"/>
          <w:bCs/>
          <w:kern w:val="2"/>
          <w:sz w:val="28"/>
          <w:szCs w:val="28"/>
        </w:rPr>
        <w:t>：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3349"/>
        <w:gridCol w:w="1084"/>
        <w:gridCol w:w="2663"/>
      </w:tblGrid>
      <w:tr w:rsidR="00060468">
        <w:trPr>
          <w:trHeight w:val="679"/>
          <w:jc w:val="center"/>
        </w:trPr>
        <w:tc>
          <w:tcPr>
            <w:tcW w:w="1704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宜兴市公用环保集团有限公司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交纳</w:t>
            </w:r>
          </w:p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投标保证金的交纳形式只限于转账（不接受其他形式的投标保证金）</w:t>
            </w:r>
          </w:p>
        </w:tc>
      </w:tr>
      <w:tr w:rsidR="00060468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0468">
        <w:trPr>
          <w:trHeight w:val="283"/>
          <w:jc w:val="center"/>
        </w:trPr>
        <w:tc>
          <w:tcPr>
            <w:tcW w:w="1704" w:type="dxa"/>
            <w:noWrap/>
            <w:vAlign w:val="center"/>
          </w:tcPr>
          <w:p w:rsidR="00060468" w:rsidRDefault="004B43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val="zh-CN"/>
              </w:rPr>
              <w:t>账号</w:t>
            </w:r>
          </w:p>
        </w:tc>
        <w:tc>
          <w:tcPr>
            <w:tcW w:w="3349" w:type="dxa"/>
            <w:noWrap/>
            <w:vAlign w:val="center"/>
          </w:tcPr>
          <w:p w:rsidR="00060468" w:rsidRDefault="00C64D2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64D24">
              <w:rPr>
                <w:rFonts w:ascii="仿宋" w:eastAsia="仿宋" w:hAnsi="仿宋"/>
                <w:bCs/>
                <w:sz w:val="28"/>
                <w:szCs w:val="28"/>
              </w:rPr>
              <w:t>51610188000129548</w:t>
            </w:r>
          </w:p>
        </w:tc>
        <w:tc>
          <w:tcPr>
            <w:tcW w:w="1084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060468" w:rsidRDefault="000604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60468" w:rsidRDefault="004B438F">
      <w:pPr>
        <w:rPr>
          <w:rFonts w:ascii="仿宋" w:eastAsia="仿宋" w:hAnsi="仿宋"/>
          <w:b/>
          <w:bCs/>
          <w:sz w:val="28"/>
          <w:szCs w:val="28"/>
          <w:lang w:val="zh-CN"/>
        </w:rPr>
      </w:pPr>
      <w:r>
        <w:rPr>
          <w:rFonts w:ascii="仿宋" w:eastAsia="仿宋" w:hAnsi="仿宋" w:cs="宋体" w:hint="eastAsia"/>
          <w:b/>
          <w:color w:val="FF0000"/>
          <w:sz w:val="28"/>
          <w:szCs w:val="28"/>
        </w:rPr>
        <w:t>注：缴纳投标保证金账户为涉密账户，账号随机，请投标单位仔细核对账号后缴纳投标保证金，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否则作废标处理，</w:t>
      </w:r>
      <w:r>
        <w:rPr>
          <w:rFonts w:ascii="仿宋" w:eastAsia="仿宋" w:hAnsi="仿宋" w:cs="宋体" w:hint="eastAsia"/>
          <w:b/>
          <w:color w:val="FF0000"/>
          <w:sz w:val="28"/>
          <w:szCs w:val="28"/>
        </w:rPr>
        <w:t>合同签订后，无息退回。</w:t>
      </w:r>
    </w:p>
    <w:p w:rsidR="00060468" w:rsidRDefault="00060468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Tahoma" w:eastAsia="宋体" w:hAnsi="Tahoma" w:cs="Tahoma"/>
          <w:b/>
          <w:bCs/>
          <w:color w:val="444444"/>
          <w:kern w:val="0"/>
          <w:sz w:val="28"/>
          <w:szCs w:val="28"/>
        </w:rPr>
        <w:t>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060468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</w:tcPr>
          <w:p w:rsidR="004D03F2" w:rsidRPr="004D03F2" w:rsidRDefault="004D03F2" w:rsidP="004D03F2">
            <w:pPr>
              <w:widowControl/>
              <w:spacing w:line="435" w:lineRule="atLeast"/>
              <w:ind w:leftChars="100" w:left="210" w:firstLineChars="100" w:firstLine="290"/>
              <w:jc w:val="left"/>
              <w:rPr>
                <w:rFonts w:ascii="仿宋" w:eastAsia="仿宋" w:hAnsi="仿宋" w:cs="Tahoma"/>
                <w:color w:val="444444"/>
                <w:kern w:val="0"/>
                <w:sz w:val="29"/>
                <w:szCs w:val="29"/>
              </w:rPr>
            </w:pPr>
            <w:r w:rsidRPr="004D03F2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lastRenderedPageBreak/>
              <w:t>联系人：刘先生，潘先生</w:t>
            </w:r>
          </w:p>
          <w:p w:rsidR="004D03F2" w:rsidRDefault="004D03F2" w:rsidP="004D03F2">
            <w:pPr>
              <w:widowControl/>
              <w:spacing w:line="435" w:lineRule="atLeast"/>
              <w:ind w:firstLine="543"/>
              <w:jc w:val="left"/>
              <w:rPr>
                <w:rFonts w:ascii="仿宋" w:eastAsia="仿宋" w:hAnsi="仿宋" w:cs="Tahoma"/>
                <w:color w:val="444444"/>
                <w:kern w:val="0"/>
                <w:sz w:val="29"/>
                <w:szCs w:val="29"/>
              </w:rPr>
            </w:pPr>
            <w:r w:rsidRPr="004D03F2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联系电话：0510-80718867，0510-87111503</w:t>
            </w:r>
          </w:p>
          <w:p w:rsidR="00060468" w:rsidRDefault="004B438F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060468" w:rsidRDefault="004B438F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060468" w:rsidRDefault="00060468"/>
    <w:sectPr w:rsidR="00060468" w:rsidSect="0006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15" w:rsidRDefault="00EA7F15" w:rsidP="00972F8C">
      <w:r>
        <w:separator/>
      </w:r>
    </w:p>
  </w:endnote>
  <w:endnote w:type="continuationSeparator" w:id="0">
    <w:p w:rsidR="00EA7F15" w:rsidRDefault="00EA7F15" w:rsidP="0097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15" w:rsidRDefault="00EA7F15" w:rsidP="00972F8C">
      <w:r>
        <w:separator/>
      </w:r>
    </w:p>
  </w:footnote>
  <w:footnote w:type="continuationSeparator" w:id="0">
    <w:p w:rsidR="00EA7F15" w:rsidRDefault="00EA7F15" w:rsidP="00972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xODA3N2EyNWU2Y2EwYjBlOTNjZDViYmY3NzlhZGYifQ=="/>
  </w:docVars>
  <w:rsids>
    <w:rsidRoot w:val="00EF4B66"/>
    <w:rsid w:val="00060468"/>
    <w:rsid w:val="00092815"/>
    <w:rsid w:val="000E5C62"/>
    <w:rsid w:val="000E7FDD"/>
    <w:rsid w:val="001056E6"/>
    <w:rsid w:val="001747B6"/>
    <w:rsid w:val="00174C94"/>
    <w:rsid w:val="00186281"/>
    <w:rsid w:val="001A0714"/>
    <w:rsid w:val="001B324E"/>
    <w:rsid w:val="0021437C"/>
    <w:rsid w:val="00287704"/>
    <w:rsid w:val="002C0CAD"/>
    <w:rsid w:val="004B438F"/>
    <w:rsid w:val="004D03F2"/>
    <w:rsid w:val="004E408A"/>
    <w:rsid w:val="00505C1C"/>
    <w:rsid w:val="00534C63"/>
    <w:rsid w:val="005B3810"/>
    <w:rsid w:val="005C74B0"/>
    <w:rsid w:val="006200FC"/>
    <w:rsid w:val="006A7DA9"/>
    <w:rsid w:val="00711CF3"/>
    <w:rsid w:val="007A4E90"/>
    <w:rsid w:val="00805473"/>
    <w:rsid w:val="0087425A"/>
    <w:rsid w:val="00972F8C"/>
    <w:rsid w:val="009A60BD"/>
    <w:rsid w:val="00A36F44"/>
    <w:rsid w:val="00A75008"/>
    <w:rsid w:val="00B34AC5"/>
    <w:rsid w:val="00BF5AAF"/>
    <w:rsid w:val="00C51BDD"/>
    <w:rsid w:val="00C64D24"/>
    <w:rsid w:val="00CD2002"/>
    <w:rsid w:val="00DE5D4A"/>
    <w:rsid w:val="00E66FE4"/>
    <w:rsid w:val="00EA7F15"/>
    <w:rsid w:val="00EC0365"/>
    <w:rsid w:val="00EE7538"/>
    <w:rsid w:val="00EF4B66"/>
    <w:rsid w:val="3401251C"/>
    <w:rsid w:val="48EA7D19"/>
    <w:rsid w:val="69FC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6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0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0468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0604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0468"/>
    <w:rPr>
      <w:sz w:val="18"/>
      <w:szCs w:val="18"/>
    </w:rPr>
  </w:style>
  <w:style w:type="paragraph" w:customStyle="1" w:styleId="2">
    <w:name w:val="正文_2"/>
    <w:qFormat/>
    <w:rsid w:val="000604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7">
    <w:name w:val="普通文字"/>
    <w:basedOn w:val="a"/>
    <w:next w:val="a"/>
    <w:qFormat/>
    <w:rsid w:val="00060468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2022-09-05T03:48:00Z</cp:lastPrinted>
  <dcterms:created xsi:type="dcterms:W3CDTF">2022-09-05T01:41:00Z</dcterms:created>
  <dcterms:modified xsi:type="dcterms:W3CDTF">2022-09-05T06:19:00Z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4B7808CBCC6D4381B103F98F84CE529D</vt:lpwstr>
  </property>
</Properties>
</file>