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E1" w:rsidRPr="00F560E1" w:rsidRDefault="00F560E1" w:rsidP="00F560E1">
      <w:pPr>
        <w:jc w:val="center"/>
        <w:rPr>
          <w:rFonts w:ascii="宋体" w:hAnsi="宋体"/>
          <w:b/>
          <w:bCs/>
          <w:sz w:val="44"/>
          <w:szCs w:val="44"/>
        </w:rPr>
      </w:pPr>
      <w:r w:rsidRPr="00F560E1">
        <w:rPr>
          <w:rFonts w:ascii="宋体" w:hAnsi="宋体" w:hint="eastAsia"/>
          <w:b/>
          <w:bCs/>
          <w:sz w:val="44"/>
          <w:szCs w:val="44"/>
        </w:rPr>
        <w:t>宜兴市公用保洁服务有限公司</w:t>
      </w:r>
    </w:p>
    <w:p w:rsidR="00132FFF" w:rsidRPr="00F560E1" w:rsidRDefault="00C21B57" w:rsidP="00F560E1">
      <w:pPr>
        <w:jc w:val="center"/>
        <w:rPr>
          <w:rFonts w:ascii="宋体" w:hAnsi="宋体"/>
          <w:b/>
          <w:bCs/>
          <w:sz w:val="44"/>
          <w:szCs w:val="44"/>
        </w:rPr>
      </w:pPr>
      <w:r w:rsidRPr="00C21B57">
        <w:rPr>
          <w:rFonts w:ascii="宋体" w:hAnsi="宋体" w:hint="eastAsia"/>
          <w:b/>
          <w:bCs/>
          <w:sz w:val="44"/>
          <w:szCs w:val="44"/>
        </w:rPr>
        <w:t>环卫作业竹枝扫帚</w:t>
      </w:r>
      <w:r w:rsidR="00132FFF">
        <w:rPr>
          <w:rFonts w:ascii="黑体" w:eastAsia="黑体" w:hAnsi="黑体" w:hint="eastAsia"/>
          <w:bCs/>
          <w:sz w:val="44"/>
          <w:szCs w:val="44"/>
        </w:rPr>
        <w:t>澄清公告</w:t>
      </w:r>
    </w:p>
    <w:p w:rsidR="00132FFF" w:rsidRPr="006F0DD9" w:rsidRDefault="00132FFF" w:rsidP="00132FFF">
      <w:pPr>
        <w:widowControl/>
        <w:shd w:val="clear" w:color="auto" w:fill="FFFFFF"/>
        <w:spacing w:line="394" w:lineRule="atLeast"/>
        <w:ind w:firstLine="489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本次就</w:t>
      </w:r>
      <w:r w:rsidR="003A5C0E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宜兴市公用</w:t>
      </w:r>
      <w:r w:rsidR="00C21B57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保洁服务</w:t>
      </w:r>
      <w:r w:rsidR="003A5C0E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有限公司</w:t>
      </w:r>
      <w:r w:rsidR="00C21B57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环卫作业竹枝扫帚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进行公开招标，已于2022年</w:t>
      </w:r>
      <w:r w:rsidR="00C21B57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7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月</w:t>
      </w:r>
      <w:r w:rsidR="00C21B57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1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日发布了招标公告，现发布第1次澄清公告。</w:t>
      </w:r>
    </w:p>
    <w:p w:rsidR="00132FFF" w:rsidRPr="006F0DD9" w:rsidRDefault="00132FFF" w:rsidP="00132FFF">
      <w:pPr>
        <w:widowControl/>
        <w:shd w:val="clear" w:color="auto" w:fill="FFFFFF"/>
        <w:spacing w:line="394" w:lineRule="atLeast"/>
        <w:ind w:firstLine="489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b/>
          <w:bCs/>
          <w:color w:val="444444"/>
          <w:kern w:val="0"/>
          <w:sz w:val="24"/>
          <w:szCs w:val="24"/>
        </w:rPr>
        <w:t>一、原招标文件主要信息</w:t>
      </w:r>
    </w:p>
    <w:p w:rsidR="00132FFF" w:rsidRPr="006F0DD9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1、项目名称：</w:t>
      </w:r>
      <w:r w:rsidR="00C21B57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环卫作业竹枝扫帚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采购</w:t>
      </w:r>
    </w:p>
    <w:p w:rsidR="00132FFF" w:rsidRPr="006F0DD9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2、项目编号：</w:t>
      </w:r>
      <w:r w:rsidR="00C21B57" w:rsidRPr="006F0DD9">
        <w:rPr>
          <w:rFonts w:ascii="仿宋" w:eastAsia="仿宋" w:hAnsi="仿宋" w:cs="Tahoma"/>
          <w:color w:val="444444"/>
          <w:kern w:val="0"/>
          <w:sz w:val="24"/>
          <w:szCs w:val="24"/>
        </w:rPr>
        <w:t>YXGYJT202206015</w:t>
      </w:r>
    </w:p>
    <w:p w:rsidR="00132FFF" w:rsidRPr="006F0DD9" w:rsidRDefault="00C21B57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3</w:t>
      </w:r>
      <w:r w:rsidR="00132FFF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、第一次更正公告日期：</w:t>
      </w:r>
      <w:r w:rsidR="00F560E1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2022年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7</w:t>
      </w:r>
      <w:r w:rsidR="00F560E1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月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7</w:t>
      </w:r>
      <w:r w:rsidR="00F560E1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日</w:t>
      </w:r>
    </w:p>
    <w:p w:rsidR="00132FFF" w:rsidRPr="006F0DD9" w:rsidRDefault="00C21B57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4</w:t>
      </w:r>
      <w:r w:rsidR="00132FFF"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、公告媒体：宜兴市公用产业集团有限公司网站</w:t>
      </w:r>
    </w:p>
    <w:p w:rsidR="00132FFF" w:rsidRPr="006F0DD9" w:rsidRDefault="00132FFF" w:rsidP="00132FFF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4"/>
          <w:szCs w:val="24"/>
        </w:rPr>
      </w:pPr>
      <w:r w:rsidRPr="006F0DD9">
        <w:rPr>
          <w:rFonts w:ascii="Calibri" w:eastAsia="仿宋" w:hAnsi="Calibri" w:cs="Calibri"/>
          <w:color w:val="444444"/>
          <w:kern w:val="0"/>
          <w:sz w:val="24"/>
          <w:szCs w:val="24"/>
        </w:rPr>
        <w:t>  </w:t>
      </w:r>
      <w:r w:rsidR="00F560E1" w:rsidRPr="006F0DD9">
        <w:rPr>
          <w:rFonts w:ascii="仿宋" w:eastAsia="仿宋" w:hAnsi="仿宋" w:cs="Calibri" w:hint="eastAsia"/>
          <w:color w:val="444444"/>
          <w:kern w:val="0"/>
          <w:sz w:val="24"/>
          <w:szCs w:val="24"/>
        </w:rPr>
        <w:t xml:space="preserve"> </w:t>
      </w:r>
      <w:r w:rsidRPr="006F0DD9">
        <w:rPr>
          <w:rFonts w:ascii="仿宋" w:eastAsia="仿宋" w:hAnsi="仿宋" w:cs="Tahoma" w:hint="eastAsia"/>
          <w:b/>
          <w:bCs/>
          <w:color w:val="444444"/>
          <w:kern w:val="0"/>
          <w:sz w:val="24"/>
          <w:szCs w:val="24"/>
        </w:rPr>
        <w:t>二、</w:t>
      </w:r>
      <w:r w:rsidR="00F560E1" w:rsidRPr="006F0DD9">
        <w:rPr>
          <w:rFonts w:ascii="仿宋" w:eastAsia="仿宋" w:hAnsi="仿宋" w:cs="Tahoma" w:hint="eastAsia"/>
          <w:b/>
          <w:bCs/>
          <w:color w:val="444444"/>
          <w:kern w:val="0"/>
          <w:sz w:val="24"/>
          <w:szCs w:val="24"/>
        </w:rPr>
        <w:t>本次澄清联系事项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2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</w:rPr>
        <w:t>1、</w:t>
      </w:r>
      <w:r w:rsidR="00F560E1"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</w:rPr>
        <w:t>原招标文件：</w:t>
      </w: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投标人参加本次投标活动应具备下列资格条件：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①具有独立承担民事责任的能力，要求能提供营业执照或法人（登记）证书复印件；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②有依法缴纳税收和社会保障资金的良好记录；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③具有履行合同所必需的设备和专业技术能力；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④良好的信用记录：投标截止时间之前，未被“信用中国”网站（</w:t>
      </w:r>
      <w:proofErr w:type="spellStart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www.creditchina.gov.cn</w:t>
      </w:r>
      <w:proofErr w:type="spellEnd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）列入失信执行人、税收违法黑名单、政府采购严重违法失信行为记录名单，未被“中国政府采购网”网站（</w:t>
      </w:r>
      <w:proofErr w:type="spellStart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www.ccgp.gov.cn</w:t>
      </w:r>
      <w:proofErr w:type="spellEnd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）列入政府采购严重违法失信行为记录名单；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⑤不接受联合体，不接受中标后分包。</w:t>
      </w:r>
    </w:p>
    <w:p w:rsidR="00F560E1" w:rsidRPr="006F0DD9" w:rsidRDefault="00F560E1" w:rsidP="00C21B57">
      <w:pPr>
        <w:widowControl/>
        <w:shd w:val="clear" w:color="auto" w:fill="FFFFFF"/>
        <w:spacing w:line="394" w:lineRule="atLeast"/>
        <w:ind w:firstLineChars="200" w:firstLine="482"/>
        <w:jc w:val="left"/>
        <w:rPr>
          <w:rFonts w:ascii="仿宋" w:eastAsia="仿宋" w:hAnsi="仿宋" w:cs="Tahoma"/>
          <w:b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  <w:highlight w:val="yellow"/>
        </w:rPr>
        <w:t>现修改为：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投标人参加本次投标活动应具备下列资格条件：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①具有独立承担民事责任的能力，要求能提供营业执照或法人（登记）证书复印件；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②有依法缴纳税收的良好记录；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③具有履行合同所必需的设备和专业技术能力；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④良好的信用记录：投标截止时间之前，未被“信用中国”网站（</w:t>
      </w:r>
      <w:proofErr w:type="spellStart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www.creditchina.gov.cn</w:t>
      </w:r>
      <w:proofErr w:type="spellEnd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）列入失信执行人、税收违法黑名单、政府采购严重违法失信行为记录名单，未被“中国政府采购网”网站（</w:t>
      </w:r>
      <w:proofErr w:type="spellStart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www.ccgp.gov.cn</w:t>
      </w:r>
      <w:proofErr w:type="spellEnd"/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）列入政府采购严重违法失信行为记录名单；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0"/>
        <w:jc w:val="left"/>
        <w:rPr>
          <w:rFonts w:ascii="仿宋" w:eastAsia="仿宋" w:hAnsi="仿宋" w:cs="Tahoma"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color w:val="444444"/>
          <w:kern w:val="0"/>
          <w:sz w:val="24"/>
          <w:szCs w:val="24"/>
        </w:rPr>
        <w:t>⑤不接受联合体，不接受中标后分包。</w:t>
      </w:r>
    </w:p>
    <w:p w:rsidR="00C21B57" w:rsidRPr="006F0DD9" w:rsidRDefault="000E1E19" w:rsidP="00C21B57">
      <w:pPr>
        <w:tabs>
          <w:tab w:val="left" w:pos="0"/>
          <w:tab w:val="left" w:pos="255"/>
        </w:tabs>
        <w:spacing w:line="360" w:lineRule="auto"/>
        <w:ind w:firstLineChars="200" w:firstLine="482"/>
        <w:rPr>
          <w:rFonts w:ascii="仿宋" w:eastAsia="仿宋" w:hAnsi="仿宋" w:cs="Tahoma"/>
          <w:b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</w:rPr>
        <w:t>2、</w:t>
      </w:r>
      <w:r w:rsidR="00C21B57"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</w:rPr>
        <w:t>原招标文件：投标文件组成</w:t>
      </w:r>
    </w:p>
    <w:p w:rsidR="00C21B57" w:rsidRPr="006F0DD9" w:rsidRDefault="00C21B57" w:rsidP="00C21B57">
      <w:pPr>
        <w:tabs>
          <w:tab w:val="left" w:pos="0"/>
          <w:tab w:val="left" w:pos="255"/>
        </w:tabs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6F0DD9">
        <w:rPr>
          <w:rFonts w:ascii="仿宋" w:eastAsia="仿宋" w:hAnsi="仿宋" w:hint="eastAsia"/>
          <w:b/>
          <w:bCs/>
          <w:sz w:val="24"/>
          <w:szCs w:val="24"/>
        </w:rPr>
        <w:t>投标人资格条件：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lastRenderedPageBreak/>
        <w:t>关于资格的声明函</w:t>
      </w:r>
      <w:bookmarkStart w:id="0" w:name="OLE_LINK111"/>
      <w:r w:rsidRPr="006F0DD9">
        <w:rPr>
          <w:rFonts w:ascii="仿宋" w:eastAsia="仿宋" w:hAnsi="仿宋" w:hint="eastAsia"/>
          <w:sz w:val="24"/>
          <w:szCs w:val="24"/>
        </w:rPr>
        <w:t>（附法定代表人身份证复印件）</w:t>
      </w:r>
      <w:bookmarkEnd w:id="0"/>
      <w:r w:rsidRPr="006F0DD9">
        <w:rPr>
          <w:rFonts w:ascii="仿宋" w:eastAsia="仿宋" w:hAnsi="仿宋" w:hint="eastAsia"/>
          <w:sz w:val="24"/>
          <w:szCs w:val="24"/>
        </w:rPr>
        <w:t>；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投标人</w:t>
      </w:r>
      <w:bookmarkStart w:id="1" w:name="OLE_LINK112"/>
      <w:r w:rsidRPr="006F0DD9">
        <w:rPr>
          <w:rFonts w:ascii="仿宋" w:eastAsia="仿宋" w:hAnsi="仿宋" w:hint="eastAsia"/>
          <w:sz w:val="24"/>
          <w:szCs w:val="24"/>
        </w:rPr>
        <w:t>法定代表人授权委托书及被授权代表的身份证复印件；</w:t>
      </w:r>
      <w:bookmarkEnd w:id="1"/>
    </w:p>
    <w:p w:rsidR="00C21B57" w:rsidRPr="006F0DD9" w:rsidRDefault="00C21B57" w:rsidP="00C21B57">
      <w:pPr>
        <w:numPr>
          <w:ilvl w:val="0"/>
          <w:numId w:val="1"/>
        </w:numPr>
        <w:tabs>
          <w:tab w:val="left" w:pos="0"/>
          <w:tab w:val="left" w:pos="255"/>
        </w:tabs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6F0DD9">
        <w:rPr>
          <w:rFonts w:ascii="仿宋" w:eastAsia="仿宋" w:hAnsi="仿宋" w:hint="eastAsia"/>
          <w:b/>
          <w:bCs/>
          <w:sz w:val="24"/>
          <w:szCs w:val="24"/>
        </w:rPr>
        <w:t>参加投标人员身份证原件；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2" w:name="OLE_LINK113"/>
      <w:r w:rsidRPr="006F0DD9">
        <w:rPr>
          <w:rFonts w:ascii="仿宋" w:eastAsia="仿宋" w:hAnsi="仿宋" w:hint="eastAsia"/>
          <w:sz w:val="24"/>
          <w:szCs w:val="24"/>
        </w:rPr>
        <w:t>具有独立承担民事责任能力的投标人</w:t>
      </w:r>
      <w:r w:rsidRPr="006F0DD9">
        <w:rPr>
          <w:rFonts w:ascii="仿宋" w:eastAsia="仿宋" w:hAnsi="仿宋" w:hint="eastAsia"/>
          <w:sz w:val="24"/>
          <w:szCs w:val="24"/>
          <w:lang w:val="zh-CN"/>
        </w:rPr>
        <w:t>营业执照或法人（登记）证书复印件；</w:t>
      </w:r>
      <w:r w:rsidRPr="006F0DD9">
        <w:rPr>
          <w:rFonts w:ascii="仿宋" w:eastAsia="仿宋" w:hAnsi="仿宋" w:hint="eastAsia"/>
          <w:b/>
          <w:bCs/>
          <w:sz w:val="24"/>
          <w:szCs w:val="24"/>
        </w:rPr>
        <w:t>（投标时必须提交相应原件或公证件）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420"/>
          <w:tab w:val="left" w:pos="945"/>
          <w:tab w:val="left" w:pos="11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投标人依法缴纳</w:t>
      </w:r>
      <w:bookmarkStart w:id="3" w:name="OLE_LINK181"/>
      <w:r w:rsidRPr="006F0DD9">
        <w:rPr>
          <w:rFonts w:ascii="仿宋" w:eastAsia="仿宋" w:hAnsi="仿宋" w:hint="eastAsia"/>
          <w:sz w:val="24"/>
          <w:szCs w:val="24"/>
        </w:rPr>
        <w:t>近十二个月</w:t>
      </w:r>
      <w:bookmarkEnd w:id="3"/>
      <w:r w:rsidRPr="006F0DD9">
        <w:rPr>
          <w:rFonts w:ascii="仿宋" w:eastAsia="仿宋" w:hAnsi="仿宋" w:hint="eastAsia"/>
          <w:sz w:val="24"/>
          <w:szCs w:val="24"/>
        </w:rPr>
        <w:t>中任意一个月份税收的相关材料（提供相关主管部门证明或银行代扣证明）复印件；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420"/>
          <w:tab w:val="left" w:pos="945"/>
          <w:tab w:val="left" w:pos="1155"/>
        </w:tabs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6F0DD9">
        <w:rPr>
          <w:rFonts w:ascii="仿宋" w:eastAsia="仿宋" w:hAnsi="仿宋" w:cs="宋体" w:hint="eastAsia"/>
          <w:sz w:val="24"/>
          <w:szCs w:val="24"/>
        </w:rPr>
        <w:t>投标人依法缴纳</w:t>
      </w:r>
      <w:r w:rsidRPr="006F0DD9">
        <w:rPr>
          <w:rFonts w:ascii="仿宋" w:eastAsia="仿宋" w:hAnsi="仿宋" w:hint="eastAsia"/>
          <w:sz w:val="24"/>
          <w:szCs w:val="24"/>
        </w:rPr>
        <w:t>近十二个月中任意一个月份</w:t>
      </w:r>
      <w:r w:rsidRPr="006F0DD9">
        <w:rPr>
          <w:rFonts w:ascii="仿宋" w:eastAsia="仿宋" w:hAnsi="仿宋" w:cs="宋体" w:hint="eastAsia"/>
          <w:sz w:val="24"/>
          <w:szCs w:val="24"/>
        </w:rPr>
        <w:t>社会保障资金的相关材料（提供相关主管部门证明或银行代扣证明）复印件</w:t>
      </w:r>
      <w:bookmarkEnd w:id="2"/>
      <w:r w:rsidRPr="006F0DD9">
        <w:rPr>
          <w:rFonts w:ascii="仿宋" w:eastAsia="仿宋" w:hAnsi="仿宋" w:cs="宋体" w:hint="eastAsia"/>
          <w:sz w:val="24"/>
          <w:szCs w:val="24"/>
        </w:rPr>
        <w:t>；</w:t>
      </w:r>
    </w:p>
    <w:p w:rsidR="00C21B57" w:rsidRPr="006F0DD9" w:rsidRDefault="00C21B57" w:rsidP="00C21B57">
      <w:pPr>
        <w:numPr>
          <w:ilvl w:val="0"/>
          <w:numId w:val="1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投标保证金交纳证明复印件；</w:t>
      </w:r>
    </w:p>
    <w:p w:rsidR="00C21B57" w:rsidRPr="006F0DD9" w:rsidRDefault="00C21B57" w:rsidP="00C21B57">
      <w:pPr>
        <w:tabs>
          <w:tab w:val="left" w:pos="0"/>
          <w:tab w:val="left" w:pos="255"/>
        </w:tabs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bookmarkStart w:id="4" w:name="OLE_LINK114"/>
      <w:r w:rsidRPr="006F0DD9">
        <w:rPr>
          <w:rFonts w:ascii="仿宋" w:eastAsia="仿宋" w:hAnsi="仿宋" w:hint="eastAsia"/>
          <w:sz w:val="24"/>
          <w:szCs w:val="24"/>
        </w:rPr>
        <w:t>注：以上“近十二个月”是指投标截止日之前近十二个月（不含投标当月）。</w:t>
      </w:r>
    </w:p>
    <w:p w:rsidR="00C21B57" w:rsidRPr="006F0DD9" w:rsidRDefault="00C21B57" w:rsidP="00C21B57">
      <w:pPr>
        <w:widowControl/>
        <w:shd w:val="clear" w:color="auto" w:fill="FFFFFF"/>
        <w:spacing w:line="394" w:lineRule="atLeast"/>
        <w:ind w:firstLineChars="200" w:firstLine="482"/>
        <w:jc w:val="left"/>
        <w:rPr>
          <w:rFonts w:ascii="仿宋" w:eastAsia="仿宋" w:hAnsi="仿宋" w:cs="Tahoma"/>
          <w:b/>
          <w:color w:val="444444"/>
          <w:kern w:val="0"/>
          <w:sz w:val="24"/>
          <w:szCs w:val="24"/>
        </w:rPr>
      </w:pPr>
      <w:r w:rsidRPr="006F0DD9">
        <w:rPr>
          <w:rFonts w:ascii="仿宋" w:eastAsia="仿宋" w:hAnsi="仿宋" w:cs="Tahoma" w:hint="eastAsia"/>
          <w:b/>
          <w:color w:val="444444"/>
          <w:kern w:val="0"/>
          <w:sz w:val="24"/>
          <w:szCs w:val="24"/>
          <w:highlight w:val="yellow"/>
        </w:rPr>
        <w:t>现修改为：</w:t>
      </w:r>
    </w:p>
    <w:p w:rsidR="00C21B57" w:rsidRPr="006F0DD9" w:rsidRDefault="00C21B57" w:rsidP="00C21B57">
      <w:pPr>
        <w:tabs>
          <w:tab w:val="left" w:pos="0"/>
          <w:tab w:val="left" w:pos="255"/>
        </w:tabs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6F0DD9">
        <w:rPr>
          <w:rFonts w:ascii="仿宋" w:eastAsia="仿宋" w:hAnsi="仿宋" w:hint="eastAsia"/>
          <w:b/>
          <w:bCs/>
          <w:sz w:val="24"/>
          <w:szCs w:val="24"/>
        </w:rPr>
        <w:t>投标人资格条件：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0"/>
          <w:tab w:val="left" w:pos="255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关于资格的声明函（附法定代表人身份证复印件）；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投标人法定代表人授权委托书及被授权代表的身份证复印件；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0"/>
          <w:tab w:val="left" w:pos="255"/>
        </w:tabs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6F0DD9">
        <w:rPr>
          <w:rFonts w:ascii="仿宋" w:eastAsia="仿宋" w:hAnsi="仿宋" w:hint="eastAsia"/>
          <w:b/>
          <w:bCs/>
          <w:sz w:val="24"/>
          <w:szCs w:val="24"/>
        </w:rPr>
        <w:t>参加投标人员身份证原件；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具有独立承担民事责任能力的投标人</w:t>
      </w:r>
      <w:r w:rsidRPr="006F0DD9">
        <w:rPr>
          <w:rFonts w:ascii="仿宋" w:eastAsia="仿宋" w:hAnsi="仿宋" w:hint="eastAsia"/>
          <w:sz w:val="24"/>
          <w:szCs w:val="24"/>
          <w:lang w:val="zh-CN"/>
        </w:rPr>
        <w:t>营业执照或法人（登记）证书复印件；</w:t>
      </w:r>
      <w:r w:rsidRPr="006F0DD9">
        <w:rPr>
          <w:rFonts w:ascii="仿宋" w:eastAsia="仿宋" w:hAnsi="仿宋" w:hint="eastAsia"/>
          <w:b/>
          <w:bCs/>
          <w:sz w:val="24"/>
          <w:szCs w:val="24"/>
        </w:rPr>
        <w:t>（投标时必须提交相应原件或公证件）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420"/>
          <w:tab w:val="left" w:pos="945"/>
          <w:tab w:val="left" w:pos="1155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投标人依法缴纳近十二个月中任意一个月份税收的相关材料（提供相关主管部门证明或银行代扣证明）复印件；</w:t>
      </w:r>
    </w:p>
    <w:p w:rsidR="00C21B57" w:rsidRPr="006F0DD9" w:rsidRDefault="00C21B57" w:rsidP="00C21B57">
      <w:pPr>
        <w:numPr>
          <w:ilvl w:val="0"/>
          <w:numId w:val="2"/>
        </w:numPr>
        <w:tabs>
          <w:tab w:val="left" w:pos="0"/>
          <w:tab w:val="left" w:pos="255"/>
        </w:tabs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投标保证金交纳证明复印件；</w:t>
      </w:r>
    </w:p>
    <w:p w:rsidR="00C21B57" w:rsidRPr="006F0DD9" w:rsidRDefault="00C21B57" w:rsidP="00C21B57">
      <w:pPr>
        <w:tabs>
          <w:tab w:val="left" w:pos="0"/>
          <w:tab w:val="left" w:pos="255"/>
        </w:tabs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注：以上“近十二个月”是指投标截止日之前近十二个月（不含投标当月）。</w:t>
      </w:r>
    </w:p>
    <w:p w:rsidR="006F0DD9" w:rsidRPr="006F0DD9" w:rsidRDefault="006F0DD9" w:rsidP="006F0DD9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  <w:highlight w:val="yellow"/>
        </w:rPr>
        <w:t>3、本项目开标时间延后至2022年7月12日10:00，请意向投标单位自今日起投标保证金汇至以下账户，之前汇款的投标保证金仍有效。</w:t>
      </w:r>
    </w:p>
    <w:p w:rsidR="006F0DD9" w:rsidRPr="006F0DD9" w:rsidRDefault="006F0DD9" w:rsidP="006F0DD9">
      <w:pPr>
        <w:pStyle w:val="a7"/>
        <w:rPr>
          <w:rFonts w:ascii="仿宋" w:eastAsia="仿宋" w:hAnsi="仿宋"/>
          <w:bCs/>
          <w:kern w:val="2"/>
          <w:szCs w:val="24"/>
        </w:rPr>
      </w:pPr>
      <w:r w:rsidRPr="006F0DD9">
        <w:rPr>
          <w:rFonts w:ascii="仿宋" w:eastAsia="仿宋" w:hAnsi="仿宋" w:hint="eastAsia"/>
          <w:b/>
          <w:bCs/>
          <w:szCs w:val="24"/>
        </w:rPr>
        <w:t>投标保证金：</w:t>
      </w:r>
      <w:bookmarkStart w:id="5" w:name="OLE_LINK49"/>
      <w:bookmarkStart w:id="6" w:name="OLE_LINK138"/>
      <w:r w:rsidRPr="006F0DD9">
        <w:rPr>
          <w:rFonts w:ascii="仿宋" w:eastAsia="仿宋" w:hAnsi="仿宋" w:hint="eastAsia"/>
          <w:szCs w:val="24"/>
        </w:rPr>
        <w:t>采购人根据项目的实际情况，要求投标人交纳投标保证</w:t>
      </w:r>
      <w:r w:rsidRPr="006F0DD9">
        <w:rPr>
          <w:rFonts w:ascii="仿宋" w:eastAsia="仿宋" w:hAnsi="仿宋" w:hint="eastAsia"/>
          <w:b/>
          <w:szCs w:val="24"/>
        </w:rPr>
        <w:t>贰仟</w:t>
      </w:r>
      <w:r w:rsidRPr="006F0DD9">
        <w:rPr>
          <w:rFonts w:ascii="仿宋" w:eastAsia="仿宋" w:hAnsi="仿宋" w:hint="eastAsia"/>
          <w:szCs w:val="24"/>
        </w:rPr>
        <w:t>元人民币。</w:t>
      </w:r>
      <w:bookmarkEnd w:id="5"/>
      <w:r w:rsidRPr="006F0DD9">
        <w:rPr>
          <w:rFonts w:ascii="仿宋" w:eastAsia="仿宋" w:hAnsi="仿宋" w:hint="eastAsia"/>
          <w:szCs w:val="24"/>
        </w:rPr>
        <w:t>交纳投标保证金的单位名称必须与参加投标的投标人名称一致</w:t>
      </w:r>
      <w:bookmarkEnd w:id="6"/>
      <w:r w:rsidRPr="006F0DD9">
        <w:rPr>
          <w:rFonts w:ascii="仿宋" w:eastAsia="仿宋" w:hAnsi="仿宋" w:hint="eastAsia"/>
          <w:bCs/>
          <w:kern w:val="2"/>
          <w:szCs w:val="24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6F0DD9" w:rsidRPr="006F0DD9" w:rsidTr="0065581F">
        <w:trPr>
          <w:trHeight w:val="679"/>
          <w:jc w:val="center"/>
        </w:trPr>
        <w:tc>
          <w:tcPr>
            <w:tcW w:w="1704" w:type="dxa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  <w:r w:rsidRPr="006F0DD9">
              <w:rPr>
                <w:rFonts w:ascii="仿宋" w:eastAsia="仿宋" w:hAnsi="仿宋" w:hint="eastAsia"/>
                <w:sz w:val="24"/>
                <w:szCs w:val="24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6F0DD9" w:rsidRPr="006F0DD9" w:rsidRDefault="006F0DD9" w:rsidP="006F0DD9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  <w:lang w:val="zh-CN"/>
              </w:rPr>
              <w:t>交纳</w:t>
            </w:r>
          </w:p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  <w:r w:rsidRPr="006F0DD9">
              <w:rPr>
                <w:rFonts w:ascii="仿宋" w:eastAsia="仿宋" w:hAnsi="仿宋" w:hint="eastAsia"/>
                <w:sz w:val="24"/>
                <w:szCs w:val="24"/>
              </w:rPr>
              <w:t>投标保证金的交纳形式只限于转账（不接受其他形式的投标保证金）</w:t>
            </w:r>
          </w:p>
        </w:tc>
      </w:tr>
      <w:tr w:rsidR="006F0DD9" w:rsidRPr="006F0DD9" w:rsidTr="0065581F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0DD9" w:rsidRPr="006F0DD9" w:rsidTr="0065581F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bCs/>
                <w:sz w:val="24"/>
                <w:szCs w:val="24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F0DD9">
              <w:rPr>
                <w:rFonts w:ascii="仿宋" w:eastAsia="仿宋" w:hAnsi="仿宋"/>
                <w:bCs/>
                <w:sz w:val="24"/>
                <w:szCs w:val="24"/>
              </w:rPr>
              <w:t>51610188000118906</w:t>
            </w:r>
          </w:p>
        </w:tc>
        <w:tc>
          <w:tcPr>
            <w:tcW w:w="1084" w:type="dxa"/>
            <w:vMerge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bCs/>
                <w:sz w:val="24"/>
                <w:szCs w:val="24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6F0DD9" w:rsidRPr="006F0DD9" w:rsidRDefault="006F0DD9" w:rsidP="00655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21B57" w:rsidRPr="006F0DD9" w:rsidRDefault="006F0DD9" w:rsidP="006F0DD9">
      <w:pPr>
        <w:rPr>
          <w:rFonts w:ascii="仿宋" w:eastAsia="仿宋" w:hAnsi="仿宋"/>
          <w:b/>
          <w:bCs/>
          <w:sz w:val="24"/>
          <w:szCs w:val="24"/>
          <w:lang w:val="zh-CN"/>
        </w:rPr>
      </w:pPr>
      <w:r w:rsidRPr="006F0DD9">
        <w:rPr>
          <w:rFonts w:ascii="仿宋" w:eastAsia="仿宋" w:hAnsi="仿宋" w:cs="宋体" w:hint="eastAsia"/>
          <w:b/>
          <w:color w:val="FF0000"/>
          <w:sz w:val="24"/>
          <w:szCs w:val="24"/>
        </w:rPr>
        <w:t>注：缴纳投标保证金账户为涉密账户，</w:t>
      </w:r>
      <w:r>
        <w:rPr>
          <w:rFonts w:ascii="仿宋" w:eastAsia="仿宋" w:hAnsi="仿宋" w:cs="宋体" w:hint="eastAsia"/>
          <w:b/>
          <w:color w:val="FF0000"/>
          <w:sz w:val="24"/>
          <w:szCs w:val="24"/>
        </w:rPr>
        <w:t>账号随机，</w:t>
      </w:r>
      <w:r w:rsidRPr="006F0DD9">
        <w:rPr>
          <w:rFonts w:ascii="仿宋" w:eastAsia="仿宋" w:hAnsi="仿宋" w:cs="宋体" w:hint="eastAsia"/>
          <w:b/>
          <w:color w:val="FF0000"/>
          <w:sz w:val="24"/>
          <w:szCs w:val="24"/>
        </w:rPr>
        <w:t>请投标单位仔细核对账号后缴纳投标保证金，</w:t>
      </w:r>
      <w:r w:rsidRPr="006F0DD9">
        <w:rPr>
          <w:rFonts w:ascii="仿宋" w:eastAsia="仿宋" w:hAnsi="仿宋" w:hint="eastAsia"/>
          <w:b/>
          <w:color w:val="FF0000"/>
          <w:sz w:val="24"/>
          <w:szCs w:val="24"/>
        </w:rPr>
        <w:t>否则作废标处理，</w:t>
      </w:r>
      <w:r w:rsidRPr="006F0DD9">
        <w:rPr>
          <w:rFonts w:ascii="仿宋" w:eastAsia="仿宋" w:hAnsi="仿宋" w:cs="宋体" w:hint="eastAsia"/>
          <w:b/>
          <w:color w:val="FF0000"/>
          <w:sz w:val="24"/>
          <w:szCs w:val="24"/>
        </w:rPr>
        <w:t>合同签订后，</w:t>
      </w:r>
      <w:r>
        <w:rPr>
          <w:rFonts w:ascii="仿宋" w:eastAsia="仿宋" w:hAnsi="仿宋" w:cs="宋体" w:hint="eastAsia"/>
          <w:b/>
          <w:color w:val="FF0000"/>
          <w:sz w:val="24"/>
          <w:szCs w:val="24"/>
        </w:rPr>
        <w:t>无息</w:t>
      </w:r>
      <w:r w:rsidRPr="006F0DD9">
        <w:rPr>
          <w:rFonts w:ascii="仿宋" w:eastAsia="仿宋" w:hAnsi="仿宋" w:cs="宋体" w:hint="eastAsia"/>
          <w:b/>
          <w:color w:val="FF0000"/>
          <w:sz w:val="24"/>
          <w:szCs w:val="24"/>
        </w:rPr>
        <w:t>退回。</w:t>
      </w:r>
    </w:p>
    <w:bookmarkEnd w:id="4"/>
    <w:p w:rsidR="003A5C0E" w:rsidRPr="006F0DD9" w:rsidRDefault="003A5C0E" w:rsidP="00C21B57">
      <w:pPr>
        <w:widowControl/>
        <w:shd w:val="clear" w:color="auto" w:fill="FFFFFF"/>
        <w:spacing w:line="394" w:lineRule="atLeas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6F0DD9">
        <w:rPr>
          <w:rFonts w:ascii="仿宋" w:eastAsia="仿宋" w:hAnsi="仿宋" w:hint="eastAsia"/>
          <w:b/>
          <w:sz w:val="24"/>
          <w:szCs w:val="24"/>
        </w:rPr>
        <w:lastRenderedPageBreak/>
        <w:t>本次招标联系事项：</w:t>
      </w:r>
    </w:p>
    <w:tbl>
      <w:tblPr>
        <w:tblW w:w="84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90"/>
      </w:tblGrid>
      <w:tr w:rsidR="003A5C0E" w:rsidRPr="006F0DD9" w:rsidTr="000104CA">
        <w:trPr>
          <w:trHeight w:val="2896"/>
          <w:jc w:val="center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F560E1" w:rsidRPr="006F0DD9" w:rsidRDefault="00F560E1" w:rsidP="00F560E1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bookmarkStart w:id="7" w:name="OLE_LINK29"/>
            <w:bookmarkEnd w:id="7"/>
            <w:r w:rsidRPr="006F0DD9">
              <w:rPr>
                <w:rFonts w:ascii="仿宋" w:eastAsia="仿宋" w:hAnsi="仿宋" w:hint="eastAsia"/>
                <w:sz w:val="24"/>
                <w:szCs w:val="24"/>
              </w:rPr>
              <w:t>联系人：刘先生 蒋倩嫣</w:t>
            </w:r>
          </w:p>
          <w:p w:rsidR="00F560E1" w:rsidRPr="006F0DD9" w:rsidRDefault="00F560E1" w:rsidP="00F560E1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sz w:val="24"/>
                <w:szCs w:val="24"/>
              </w:rPr>
              <w:t>联系电话：0510-80718867     0510-87332992</w:t>
            </w:r>
          </w:p>
          <w:p w:rsidR="00F560E1" w:rsidRPr="006F0DD9" w:rsidRDefault="00F560E1" w:rsidP="00F560E1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sz w:val="24"/>
                <w:szCs w:val="24"/>
              </w:rPr>
              <w:t>联系地址：宜城街道氿滨北路81号</w:t>
            </w:r>
          </w:p>
          <w:p w:rsidR="003A5C0E" w:rsidRPr="006F0DD9" w:rsidRDefault="00F560E1" w:rsidP="00F560E1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6F0DD9">
              <w:rPr>
                <w:rFonts w:ascii="仿宋" w:eastAsia="仿宋" w:hAnsi="仿宋" w:hint="eastAsia"/>
                <w:sz w:val="24"/>
                <w:szCs w:val="24"/>
              </w:rPr>
              <w:t>邮政编码：214200</w:t>
            </w:r>
          </w:p>
        </w:tc>
      </w:tr>
    </w:tbl>
    <w:p w:rsidR="003A5C0E" w:rsidRPr="006F0DD9" w:rsidRDefault="003A5C0E" w:rsidP="003A5C0E">
      <w:pPr>
        <w:spacing w:line="560" w:lineRule="exact"/>
        <w:rPr>
          <w:rFonts w:ascii="仿宋" w:eastAsia="仿宋" w:hAnsi="仿宋"/>
          <w:sz w:val="24"/>
          <w:szCs w:val="24"/>
        </w:rPr>
      </w:pPr>
      <w:r w:rsidRPr="006F0DD9">
        <w:rPr>
          <w:rFonts w:ascii="仿宋" w:eastAsia="仿宋" w:hAnsi="仿宋" w:hint="eastAsia"/>
          <w:sz w:val="24"/>
          <w:szCs w:val="24"/>
        </w:rPr>
        <w:t>有关本次招投标活动方面的问题,可来人、来函（传真）或电话联系。</w:t>
      </w:r>
    </w:p>
    <w:p w:rsidR="003A5C0E" w:rsidRPr="00F560E1" w:rsidRDefault="003A5C0E" w:rsidP="003A5C0E">
      <w:pPr>
        <w:spacing w:line="560" w:lineRule="exact"/>
        <w:rPr>
          <w:rFonts w:ascii="仿宋" w:eastAsia="仿宋" w:hAnsi="仿宋"/>
          <w:sz w:val="24"/>
          <w:szCs w:val="24"/>
        </w:rPr>
      </w:pPr>
      <w:r w:rsidRPr="00F560E1">
        <w:rPr>
          <w:rFonts w:eastAsia="仿宋" w:hint="eastAsia"/>
          <w:sz w:val="24"/>
          <w:szCs w:val="24"/>
        </w:rPr>
        <w:t> </w:t>
      </w:r>
    </w:p>
    <w:p w:rsidR="005B2CD3" w:rsidRDefault="005B2CD3" w:rsidP="0005259C"/>
    <w:sectPr w:rsidR="005B2CD3" w:rsidSect="005F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AF" w:rsidRDefault="00EB67AF" w:rsidP="003A5C0E">
      <w:r>
        <w:separator/>
      </w:r>
    </w:p>
  </w:endnote>
  <w:endnote w:type="continuationSeparator" w:id="0">
    <w:p w:rsidR="00EB67AF" w:rsidRDefault="00EB67AF" w:rsidP="003A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AF" w:rsidRDefault="00EB67AF" w:rsidP="003A5C0E">
      <w:r>
        <w:separator/>
      </w:r>
    </w:p>
  </w:footnote>
  <w:footnote w:type="continuationSeparator" w:id="0">
    <w:p w:rsidR="00EB67AF" w:rsidRDefault="00EB67AF" w:rsidP="003A5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D1D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FFF"/>
    <w:rsid w:val="00016DF2"/>
    <w:rsid w:val="0005259C"/>
    <w:rsid w:val="000E1E19"/>
    <w:rsid w:val="0010578B"/>
    <w:rsid w:val="00132FFF"/>
    <w:rsid w:val="0013619E"/>
    <w:rsid w:val="002C30A6"/>
    <w:rsid w:val="00371F0D"/>
    <w:rsid w:val="00376772"/>
    <w:rsid w:val="00394053"/>
    <w:rsid w:val="003A5C0E"/>
    <w:rsid w:val="003E66A9"/>
    <w:rsid w:val="004B7124"/>
    <w:rsid w:val="005B2CD3"/>
    <w:rsid w:val="005F61A1"/>
    <w:rsid w:val="006B1E36"/>
    <w:rsid w:val="006F0DD9"/>
    <w:rsid w:val="00781755"/>
    <w:rsid w:val="007C115E"/>
    <w:rsid w:val="007E5C8D"/>
    <w:rsid w:val="007F0092"/>
    <w:rsid w:val="00855866"/>
    <w:rsid w:val="00877466"/>
    <w:rsid w:val="0090601A"/>
    <w:rsid w:val="009F7D59"/>
    <w:rsid w:val="00A46A1D"/>
    <w:rsid w:val="00AB37C9"/>
    <w:rsid w:val="00B4465C"/>
    <w:rsid w:val="00B836B1"/>
    <w:rsid w:val="00BD0129"/>
    <w:rsid w:val="00C03F2A"/>
    <w:rsid w:val="00C12477"/>
    <w:rsid w:val="00C21B57"/>
    <w:rsid w:val="00CE422E"/>
    <w:rsid w:val="00CE7868"/>
    <w:rsid w:val="00D711DA"/>
    <w:rsid w:val="00EB67AF"/>
    <w:rsid w:val="00EB7C46"/>
    <w:rsid w:val="00F560E1"/>
    <w:rsid w:val="00F6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2F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2FFF"/>
    <w:rPr>
      <w:b/>
      <w:bCs/>
    </w:rPr>
  </w:style>
  <w:style w:type="character" w:customStyle="1" w:styleId="1Char">
    <w:name w:val="标题 1 Char"/>
    <w:basedOn w:val="a0"/>
    <w:link w:val="1"/>
    <w:uiPriority w:val="9"/>
    <w:rsid w:val="00132FF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3A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5C0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5C0E"/>
    <w:rPr>
      <w:sz w:val="18"/>
      <w:szCs w:val="18"/>
    </w:rPr>
  </w:style>
  <w:style w:type="paragraph" w:customStyle="1" w:styleId="a7">
    <w:name w:val="普通文字"/>
    <w:basedOn w:val="a"/>
    <w:next w:val="a"/>
    <w:qFormat/>
    <w:rsid w:val="006F0DD9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2022-07-07T07:22:00Z</dcterms:created>
  <dcterms:modified xsi:type="dcterms:W3CDTF">2022-07-07T08:04:00Z</dcterms:modified>
</cp:coreProperties>
</file>